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1F3A5F"/>
          <w:sz w:val="52"/>
          <w:szCs w:val="52"/>
        </w:rPr>
        <w:t xml:space="preserve">HOST-DIALOG</w:t>
      </w:r>
    </w:p>
    <w:p>
      <w:pPr>
        <w:spacing w:after="600"/>
        <w:jc w:val="center"/>
      </w:pPr>
      <w:r>
        <w:rPr>
          <w:color w:val="555555"/>
          <w:sz w:val="32"/>
          <w:szCs w:val="32"/>
        </w:rPr>
        <w:t xml:space="preserve">Integrated Functional Assay Suite</w:t>
      </w:r>
    </w:p>
    <w:p>
      <w:pPr>
        <w:spacing w:after="120"/>
        <w:jc w:val="center"/>
      </w:pPr>
      <w:r>
        <w:rPr>
          <w:i/>
          <w:iCs/>
          <w:sz w:val="24"/>
          <w:szCs w:val="24"/>
        </w:rPr>
        <w:t xml:space="preserve">tRNA-Asn charging, GatCAB flux, and small RNA profile</w:t>
      </w:r>
    </w:p>
    <w:p>
      <w:pPr>
        <w:spacing w:after="120"/>
        <w:jc w:val="center"/>
      </w:pPr>
      <w:r>
        <w:rPr>
          <w:i/>
          <w:iCs/>
          <w:sz w:val="24"/>
          <w:szCs w:val="24"/>
        </w:rPr>
        <w:t xml:space="preserve">in Staphylococcus aureus</w:t>
      </w:r>
    </w:p>
    <w:p>
      <w:pPr>
        <w:spacing w:after="120"/>
      </w:pPr>
      <w:r>
        <w:t xml:space="preserve"/>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Document ID</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SOP-HD-001</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Version</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1.0 — Draft for team review</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Date</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April 2026</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Principal author</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Bård Ove Karlsen, CSO</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Primary affiliation</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Department of Laboratory Medicine, Nordland Hospital Trust, Bodø</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Project lead (hardware)</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Einar Sander Bollvåg, CTO</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Contributing team</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Åse Emblem, Corinna Lau Bårdsen, Ole-Lars Brekke, Erik Knutsen, Anne Landsem, Marita Mårli, Ingrid Sofie Joakimsen, Tom Eirik Mollnes</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External collaborators</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M. Kjos (NMBU, CRISPRi), B. Masquida (CNRS Strasbourg, ITC/structure), T. E. Jørgensen &amp; S. D. Johansen (Nord Universitet, sequencing)</w:t>
            </w:r>
          </w:p>
        </w:tc>
      </w:tr>
      <w:tr>
        <w:tc>
          <w:tcPr>
            <w:tcW w:type="dxa" w:w="3000"/>
            <w:tcBorders>
              <w:top w:val="single" w:color="999999" w:sz="4"/>
              <w:left w:val="single" w:color="999999" w:sz="4"/>
              <w:bottom w:val="single" w:color="999999" w:sz="4"/>
              <w:right w:val="single" w:color="999999" w:sz="4"/>
            </w:tcBorders>
            <w:shd w:fill="D6E4F0" w:val="clear"/>
            <w:tcMar>
              <w:top w:type="dxa" w:w="100"/>
              <w:left w:type="dxa" w:w="140"/>
              <w:bottom w:type="dxa" w:w="100"/>
              <w:right w:type="dxa" w:w="140"/>
            </w:tcMar>
          </w:tcPr>
          <w:p>
            <w:r>
              <w:rPr>
                <w:b/>
                <w:bCs/>
                <w:sz w:val="20"/>
                <w:szCs w:val="20"/>
              </w:rPr>
              <w:t xml:space="preserve">Status</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sz w:val="20"/>
                <w:szCs w:val="20"/>
              </w:rPr>
              <w:t xml:space="preserve">DRAFT — requires team and radiation officer review prior to execution</w:t>
            </w:r>
          </w:p>
        </w:tc>
      </w:tr>
    </w:tbl>
    <w:p>
      <w:pPr>
        <w:spacing w:after="120"/>
      </w:pPr>
      <w:r>
        <w:t xml:space="preserve"/>
      </w:r>
    </w:p>
    <w:p>
      <w:pPr>
        <w:spacing w:after="120"/>
      </w:pPr>
      <w:r>
        <w:t xml:space="preserve"/>
      </w:r>
    </w:p>
    <w:p>
      <w:pPr>
        <w:spacing w:after="200"/>
        <w:jc w:val="center"/>
      </w:pPr>
      <w:r>
        <w:rPr>
          <w:b/>
          <w:bCs/>
          <w:sz w:val="22"/>
          <w:szCs w:val="22"/>
        </w:rPr>
        <w:t xml:space="preserve">Approval 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tcPr>
          <w:p>
            <w:r>
              <w:rPr>
                <w:b/>
                <w:bCs/>
                <w:color w:val="FFFFFF"/>
                <w:sz w:val="20"/>
                <w:szCs w:val="20"/>
              </w:rPr>
              <w:t xml:space="preserve">Role</w:t>
            </w:r>
          </w:p>
        </w:tc>
        <w:tc>
          <w:tcPr>
            <w:tcW w:type="dxa" w:w="312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tcPr>
          <w:p>
            <w:r>
              <w:rPr>
                <w:b/>
                <w:bCs/>
                <w:color w:val="FFFFFF"/>
                <w:sz w:val="20"/>
                <w:szCs w:val="20"/>
              </w:rPr>
              <w:t xml:space="preserve">Name</w:t>
            </w:r>
          </w:p>
        </w:tc>
        <w:tc>
          <w:tcPr>
            <w:tcW w:type="dxa" w:w="312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tcPr>
          <w:p>
            <w:r>
              <w:rPr>
                <w:b/>
                <w:bCs/>
                <w:color w:val="FFFFFF"/>
                <w:sz w:val="20"/>
                <w:szCs w:val="20"/>
              </w:rPr>
              <w:t xml:space="preserve">Signature &amp; date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Principal investigator</w:t>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Bård Ove Karlsen</w:t>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Laboratory lead</w:t>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Radiation safety officer</w:t>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Biosafety officer</w:t>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300"/>
            </w:pPr>
            <w:r>
              <w:rPr>
                <w:sz w:val="20"/>
                <w:szCs w:val="20"/>
              </w:rPr>
              <w:t xml:space="preserve"/>
            </w:r>
          </w:p>
        </w:tc>
      </w:tr>
    </w:tbl>
    <w:p>
      <w:r>
        <w:br w:type="page"/>
      </w:r>
    </w:p>
    <w:p>
      <w:pPr>
        <w:pStyle w:val="Heading1"/>
      </w:pPr>
      <w:r>
        <w:t xml:space="preserve">Contents</w:t>
      </w:r>
    </w:p>
    <w:p>
      <w:pPr>
        <w:spacing w:after="100"/>
      </w:pPr>
      <w:r>
        <w:t xml:space="preserve"/>
      </w:r>
    </w:p>
    <w:sdt>
      <w:sdtPr>
        <w:alias w:val="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0. Scientific rationale</w:t>
      </w:r>
    </w:p>
    <w:p>
      <w:pPr>
        <w:pStyle w:val="Heading2"/>
      </w:pPr>
      <w:r>
        <w:t xml:space="preserve">0.1 The target</w:t>
      </w:r>
    </w:p>
    <w:p>
      <w:pPr>
        <w:spacing w:after="100"/>
      </w:pPr>
      <w:r>
        <w:t xml:space="preserve">Staphylococcus aureus lacks asparaginyl-tRNA synthetase. Every Asn residue in the S. aureus proteome is synthesised via the indirect transamidation pathway: the non-discriminating aspartyl-tRNA synthetase (ND-AspRS) mischarges Asp onto tRNA-Asn, and the heterotrimeric amidotransferase GatCAB subsequently transamidates Asp-tRNA-Asn to Asn-tRNA-Asn using glutamine as the amide donor. This pathway is essential, ancient, and evolutionarily constrained. It is the molecular basis of the HOST-DIALOG mechanistic hypothesis.</w:t>
      </w:r>
    </w:p>
    <w:p>
      <w:pPr>
        <w:pStyle w:val="Heading2"/>
      </w:pPr>
      <w:r>
        <w:t xml:space="preserve">0.2 Assay architecture</w:t>
      </w:r>
    </w:p>
    <w:p>
      <w:pPr>
        <w:spacing w:after="100"/>
      </w:pPr>
      <w:r>
        <w:t xml:space="preserve">The integrated assay suite interrogates this pathway on three orthogonal axes from a single matched biological state. One master culture is split at mid-exponential phase into matched daughter flasks. Drug is applied simultaneously across arms. The hot arm receives a radiolabelled amino acid pulse that reads translation flux per residue class. The clean arm is sampled for RNA, which feeds two downstream readouts: acid-urea northern blot for direct tRNA-Asn charging state, and small RNA sequencing for tRF and regulatory RNA profile. Because all arms originate from the same master culture at the same moment, cross-comparison is biologically meaningful rather than correlative.</w:t>
      </w:r>
    </w:p>
    <w:p>
      <w:pPr>
        <w:pStyle w:val="Heading2"/>
      </w:pPr>
      <w:r>
        <w:t xml:space="preserve">0.3 What each readout provides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276"/>
        <w:gridCol w:w="3744"/>
      </w:tblGrid>
      <w:tr>
        <w:trPr>
          <w:tblHeader/>
        </w:trPr>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Readout</w:t>
            </w:r>
          </w:p>
        </w:tc>
        <w:tc>
          <w:tcPr>
            <w:tcW w:type="dxa" w:w="327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What it measures</w:t>
            </w:r>
          </w:p>
        </w:tc>
        <w:tc>
          <w:tcPr>
            <w:tcW w:type="dxa" w:w="374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Interpretive weight</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Radiolabel incorporation</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Flux of Asp, Asn, Leu, Gly into protein and peptidoglycan</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Functional translation signal; ratio analysis distinguishes GatCAB block from general translation inhibition</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Acid-urea northern</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Ratio of uncharged / Asp-charged / Asn-charged tRNA-Asn</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Direct biochemical evidence of GatCAB block; the smoking gun if present</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Small RNA sequencing</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tRF-3b^Asn abundance, stringent response sRNAs, global regulatory profile</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Regulatory response to the block; connects mechanism to cellular physiology</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Diagnostic signature of a clean GatCAB block</w:t>
            </w:r>
          </w:p>
          <w:p>
            <w:r>
              <w:t xml:space="preserve">Asp and Asn tracer incorporation drops faster than Leu. Asp-tRNA-Asn band on the acid-urea northern rises sharply. Small RNA profile shows stringent response induction with tRNA-Asn-derived fragment enrichment. Concordance across all three axes is the mechanistic headline result.</w:t>
            </w:r>
          </w:p>
        </w:tc>
      </w:tr>
    </w:tbl>
    <w:p>
      <w:r>
        <w:br w:type="page"/>
      </w:r>
    </w:p>
    <w:p>
      <w:pPr>
        <w:pStyle w:val="Heading1"/>
      </w:pPr>
      <w:r>
        <w:t xml:space="preserve">1. Safety and regulatory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BE4D5" w:val="clear"/>
            <w:tcMar>
              <w:top w:type="dxa" w:w="100"/>
              <w:left w:type="dxa" w:w="140"/>
              <w:bottom w:type="dxa" w:w="100"/>
              <w:right w:type="dxa" w:w="140"/>
            </w:tcMar>
          </w:tcPr>
          <w:p>
            <w:pPr>
              <w:spacing w:after="60"/>
            </w:pPr>
            <w:r>
              <w:rPr>
                <w:b/>
                <w:bCs/>
              </w:rPr>
              <w:t xml:space="preserve">Before any work begins</w:t>
            </w:r>
          </w:p>
          <w:p>
            <w:r>
              <w:t xml:space="preserve">The radiation permit for ³H and ¹⁴C handling at Nordlandssykehuset must be active, and the named researcher must be listed on the local DSA authorisation. If this is not yet in place, paperwork must run in parallel with the pilot phase. Do not order radiolabels before authorisation is confirmed.</w:t>
            </w:r>
          </w:p>
        </w:tc>
      </w:tr>
    </w:tbl>
    <w:p>
      <w:pPr>
        <w:spacing w:after="120"/>
      </w:pPr>
      <w:r>
        <w:t xml:space="preserve"/>
      </w:r>
    </w:p>
    <w:p>
      <w:pPr>
        <w:pStyle w:val="Heading2"/>
      </w:pPr>
      <w:r>
        <w:t xml:space="preserve">1.1 Biosafety (BSL-2)</w:t>
      </w:r>
    </w:p>
    <w:p>
      <w:pPr>
        <w:spacing w:after="100"/>
      </w:pPr>
      <w:r>
        <w:t xml:space="preserve">All work with S. aureus strains (USA300 JE2, Newman, clinical isolates from the Nordland biobank) is performed at biosafety level 2 in accordance with local institutional biosafety rules and the Norwegian Workplace Regulations. Work is conducted in a Class II biosafety cabinet. All liquid waste is inactivated in 1 % final Virkon or autoclaved at 121 °C for 30 min. All solid waste is autoclaved before disposal. Sharps go into rigid yellow bins.</w:t>
      </w:r>
    </w:p>
    <w:p>
      <w:pPr>
        <w:pStyle w:val="ListParagraph"/>
        <w:numPr>
          <w:ilvl w:val="0"/>
          <w:numId w:val="2"/>
        </w:numPr>
        <w:spacing w:after="60"/>
      </w:pPr>
      <w:r>
        <w:t xml:space="preserve">Lab coat, gloves, eye protection at all times. No open-toed footwear.</w:t>
      </w:r>
    </w:p>
    <w:p>
      <w:pPr>
        <w:pStyle w:val="ListParagraph"/>
        <w:numPr>
          <w:ilvl w:val="0"/>
          <w:numId w:val="2"/>
        </w:numPr>
        <w:spacing w:after="60"/>
      </w:pPr>
      <w:r>
        <w:t xml:space="preserve">Pipetting with aerosol-barrier tips.</w:t>
      </w:r>
    </w:p>
    <w:p>
      <w:pPr>
        <w:pStyle w:val="ListParagraph"/>
        <w:numPr>
          <w:ilvl w:val="0"/>
          <w:numId w:val="2"/>
        </w:numPr>
        <w:spacing w:after="60"/>
      </w:pPr>
      <w:r>
        <w:t xml:space="preserve">Centrifugation in sealed buckets; open only inside the BSC.</w:t>
      </w:r>
    </w:p>
    <w:p>
      <w:pPr>
        <w:pStyle w:val="ListParagraph"/>
        <w:numPr>
          <w:ilvl w:val="0"/>
          <w:numId w:val="2"/>
        </w:numPr>
        <w:spacing w:after="60"/>
      </w:pPr>
      <w:r>
        <w:t xml:space="preserve">Spill protocol: cover with paper towels, saturate with 1 % Virkon, allow 20 min contact, clean from outside in.</w:t>
      </w:r>
    </w:p>
    <w:p>
      <w:pPr>
        <w:spacing w:after="120"/>
      </w:pPr>
      <w:r>
        <w:t xml:space="preserve"/>
      </w:r>
    </w:p>
    <w:p>
      <w:pPr>
        <w:pStyle w:val="Heading2"/>
      </w:pPr>
      <w:r>
        <w:t xml:space="preserve">1.2 Radiation protection (³H and ¹⁴C)</w:t>
      </w:r>
    </w:p>
    <w:p>
      <w:pPr>
        <w:spacing w:after="100"/>
      </w:pPr>
      <w:r>
        <w:t xml:space="preserve">Both ³H (18.6 keV maximum beta) and ¹⁴C (156 keV maximum beta) are pure beta emitters with no penetrating gamma. External exposure is not the hazard. The hazard is internal contamination via ingestion, skin absorption (³H water and labile ³H positions), or inhalation of aerosols. The controls are exposure control, not shielding.</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rPr>
          <w:tblHeader/>
        </w:trPr>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Requirement</w:t>
            </w:r>
          </w:p>
        </w:tc>
        <w:tc>
          <w:tcPr>
            <w:tcW w:type="dxa" w:w="702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Detail</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Work area</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Dedicated hot bench, bench-protective absorbent paper (Benchkote or equivalent), no shared equipment with RNA workflow</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PPE</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Double nitrile gloves, lab coat, safety goggles. Change outer gloves every 10 min or on any suspected contact.</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Monitoring</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Swipe tests (filter paper wet with scintillation cocktail, counted) of hands, bench, equipment before and after every session. Records kept in the radiation log.</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Pipetting</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Positive-displacement or aerosol-barrier tips only. No mouth pipetting. Dispense below the surface to suppress aerosols.</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Waste segregation</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Liquid scintillation vials into rigid labelled drums. Solid (pipette tips, paper) into labelled bins. Activity logged per vial and per session.</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Spill response</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Immediate spill kit deployment: absorbent, Decon detergent, swipe tests until background. Report any spill &gt; 1 MBq to the radiation officer within 24 h.</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Dosimetry</w:t>
            </w:r>
          </w:p>
        </w:tc>
        <w:tc>
          <w:tcPr>
            <w:tcW w:type="dxa" w:w="702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No film badge needed for ³H/¹⁴C (weak beta undetectable externally). Bioassay if spill contact suspected. Record all shipments, openings, dispensings in the activity ledger.</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BE4D5" w:val="clear"/>
            <w:tcMar>
              <w:top w:type="dxa" w:w="100"/>
              <w:left w:type="dxa" w:w="140"/>
              <w:bottom w:type="dxa" w:w="100"/>
              <w:right w:type="dxa" w:w="140"/>
            </w:tcMar>
          </w:tcPr>
          <w:p>
            <w:pPr>
              <w:spacing w:after="60"/>
            </w:pPr>
            <w:r>
              <w:rPr>
                <w:b/>
                <w:bCs/>
              </w:rPr>
              <w:t xml:space="preserve">Radiation operational rules</w:t>
            </w:r>
          </w:p>
          <w:p>
            <w:r>
              <w:t xml:space="preserve">No eating, drinking, smoking, chewing gum, applying cosmetics, or storing food anywhere in the radiation-controlled area. No pregnant researchers handling ³H-amino acids or ³H water without prior risk assessment. Always work within the bench-protective tray. Stock vials returned to shielded storage after every dispense.</w:t>
            </w:r>
          </w:p>
        </w:tc>
      </w:tr>
    </w:tbl>
    <w:p>
      <w:r>
        <w:br w:type="page"/>
      </w:r>
    </w:p>
    <w:p>
      <w:pPr>
        <w:pStyle w:val="Heading1"/>
      </w:pPr>
      <w:r>
        <w:t xml:space="preserve">2. Equipment, reagents, strains</w:t>
      </w:r>
    </w:p>
    <w:p>
      <w:pPr>
        <w:pStyle w:val="Heading2"/>
      </w:pPr>
      <w:r>
        <w:t xml:space="preserve">2.1 Equipment by bench zone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7488"/>
      </w:tblGrid>
      <w:tr>
        <w:trPr>
          <w:tblHeader/>
        </w:trPr>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Zone</w:t>
            </w:r>
          </w:p>
        </w:tc>
        <w:tc>
          <w:tcPr>
            <w:tcW w:type="dxa" w:w="748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Equipment</w:t>
            </w:r>
          </w:p>
        </w:tc>
      </w:tr>
      <w:tr>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Culture (BSL-2)</w:t>
            </w:r>
          </w:p>
        </w:tc>
        <w:tc>
          <w:tcPr>
            <w:tcW w:type="dxa" w:w="748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Class II BSC; 37 °C shaking incubator with OD logging; benchtop plate reader (OD600, 96-well); bench centrifuge (up to 14 000 × g, fixed-angle 1.5 mL rotor); microbiological incubator; autoclave access</w:t>
            </w:r>
          </w:p>
        </w:tc>
      </w:tr>
      <w:tr>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Hot bench</w:t>
            </w:r>
          </w:p>
        </w:tc>
        <w:tc>
          <w:tcPr>
            <w:tcW w:type="dxa" w:w="748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Dedicated fume hood or BSC (containment only); Tri-Carb liquid scintillation counter (or equivalent dual-channel ³H/¹⁴C); filter manifold for GF/C (Millipore or equivalent); 5 × 50 mL screw-top tubes rated for radioactive liquid waste; Benchkote bench protector; radiation swipe-test filter pads; stopwatch or timer</w:t>
            </w:r>
          </w:p>
        </w:tc>
      </w:tr>
      <w:tr>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Clean RNA bench</w:t>
            </w:r>
          </w:p>
        </w:tc>
        <w:tc>
          <w:tcPr>
            <w:tcW w:type="dxa" w:w="748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Dedicated RNase-free pipettes (P10/P20/P200/P1000); filter tips only; NanoDrop or Qubit fluorometer; TapeStation 4150 or Bioanalyzer with small RNA chips; heat block (40–95 °C); microcentrifuge; –80 °C freezer drawer dedicated to the project</w:t>
            </w:r>
          </w:p>
        </w:tc>
      </w:tr>
      <w:tr>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Gel / hybridisation bench</w:t>
            </w:r>
          </w:p>
        </w:tc>
        <w:tc>
          <w:tcPr>
            <w:tcW w:type="dxa" w:w="748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Acid-urea PAGE apparatus (20 cm minigel or 40 cm sequencing-format rig); semi-dry or wet transfer unit; hybridisation oven with rotating bottles; phosphorimager (Typhoon or equivalent); hybridisation tubes; crosslinker (UV-Stratalinker or equivalent)</w:t>
            </w:r>
          </w:p>
        </w:tc>
      </w:tr>
      <w:tr>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Library prep bench</w:t>
            </w:r>
          </w:p>
        </w:tc>
        <w:tc>
          <w:tcPr>
            <w:tcW w:type="dxa" w:w="748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Dedicated PCR hood; thermocycler; magnetic separation rack (96-well); pipettes and filter tips not shared with hot or culture benches</w:t>
            </w:r>
          </w:p>
        </w:tc>
      </w:tr>
    </w:tbl>
    <w:p>
      <w:pPr>
        <w:spacing w:after="120"/>
      </w:pPr>
      <w:r>
        <w:t xml:space="preserve"/>
      </w:r>
    </w:p>
    <w:p>
      <w:pPr>
        <w:pStyle w:val="Heading2"/>
      </w:pPr>
      <w:r>
        <w:t xml:space="preserve">2.2 Core reagents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76"/>
        <w:gridCol w:w="1872"/>
        <w:gridCol w:w="2340"/>
        <w:gridCol w:w="1872"/>
      </w:tblGrid>
      <w:tr>
        <w:trPr>
          <w:tblHeader/>
        </w:trPr>
        <w:tc>
          <w:tcPr>
            <w:tcW w:type="dxa" w:w="327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Reagent</w:t>
            </w:r>
          </w:p>
        </w:tc>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Catalogue (reference)</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Supplier</w:t>
            </w:r>
          </w:p>
        </w:tc>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Role</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L-[2,3,3-³H]-Asparagine, 20–40 Ci/mmol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NET581005MC</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Primary Asn tracer</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L-[2,3-³H]-Aspartic acid, 20–40 Ci/mmol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NET142H001MC</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Primary Asp tracer (bypasses AnsA)</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L-[4,5-³H]-Leucine, 100–150 Ci/mmol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NET460005MC</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General translation baseline</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L-[2-³H]-Glycine, 40–60 Ci/mmol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NET004005MC</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Dual protein/peptidoglycan readout</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L-[U-¹⁴C]-Asparagine (optional dual-label)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NEC267010UC</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Higher-stability alternative</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Chemically defined medium (Hussain CDM base)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Prepared in-house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Controlled Asn/Asp/Gln background</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TRIzol LS</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10296028</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Thermo Fisher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extraction (acid pH preserves aminoacyl bond)</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miRNeasy Mini Kit</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217004</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Qiagen</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Small RNA-retaining column extraction</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T4 Polynucleotide Kinase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M0201S</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End repair, 5′ phosphorylation</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Calf Intestinal Phosphatase (CIP)</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M0290S</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Removes 2′,3′-cyclic phosphate via combined treatment</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 coli AlkB (recombinant)</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Arraystar or in-house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Demethylase for m1A, m3C, m1G prior to RT</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NEBNext Small RNA Library Prep Set</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E7330L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Library construction backbone</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DIG Easy Hyb</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11603558001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Roche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Northern hybridisation buffer</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γ-[³²P]-ATP (optional) or biotin-16-UTP</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BLU002Z / 11388908910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 Roche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 end-labelling of tRNA-Asn probe</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Mueller-Hinton Broth / TSB</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70192 / T8907</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Sigma-Aldrich</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Reference rich media</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ESYLWS peptide series (V12)</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Internal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Primary test compound</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Chloramphenicol (analytical grade)</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C0378</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Sigma-Aldrich</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General translation inhibitor positive control</w:t>
            </w:r>
          </w:p>
        </w:tc>
      </w:tr>
    </w:tbl>
    <w:p>
      <w:pPr>
        <w:spacing w:after="120"/>
      </w:pPr>
      <w:r>
        <w:t xml:space="preserve"/>
      </w:r>
    </w:p>
    <w:p>
      <w:pPr>
        <w:pStyle w:val="Heading2"/>
      </w:pPr>
      <w:r>
        <w:t xml:space="preserve">2.3 Bacterial strains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2340"/>
        <w:gridCol w:w="4212"/>
      </w:tblGrid>
      <w:tr>
        <w:trPr>
          <w:tblHeader/>
        </w:trPr>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Strain</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Source</w:t>
            </w:r>
          </w:p>
        </w:tc>
        <w:tc>
          <w:tcPr>
            <w:tcW w:type="dxa" w:w="421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Role</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 aureus USA300 JE2 (NRS384 derivative)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BEI / NARSA</w:t>
            </w:r>
          </w:p>
        </w:tc>
        <w:tc>
          <w:tcPr>
            <w:tcW w:type="dxa" w:w="421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Primary workhorse; CA-MRSA clinical relevance; NARSA transposon library compatible</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 aureus Newman</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ATCC 25904 / local stock</w:t>
            </w:r>
          </w:p>
        </w:tc>
        <w:tc>
          <w:tcPr>
            <w:tcW w:type="dxa" w:w="421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Classical reference; secondary strain for generalisability</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Local clinical isolate (anonymised)</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Nordland biobank (ethics permit required)</w:t>
            </w:r>
          </w:p>
        </w:tc>
        <w:tc>
          <w:tcPr>
            <w:tcW w:type="dxa" w:w="421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Sanity-check for clinical translatability</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USA300 JE2 ansA::Tn (NARSA)</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BEI NARSA library</w:t>
            </w:r>
          </w:p>
        </w:tc>
        <w:tc>
          <w:tcPr>
            <w:tcW w:type="dxa" w:w="421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v2 genetic control; tests the AnsA-dependence interpretation</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USA300 JE2 gatA CRISPRi (titratable)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Kjos lab, NMBU</w:t>
            </w:r>
          </w:p>
        </w:tc>
        <w:tc>
          <w:tcPr>
            <w:tcW w:type="dxa" w:w="421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v2 positive control; titratable GatCAB depletion</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On media choice</w:t>
            </w:r>
          </w:p>
          <w:p>
            <w:r>
              <w:t xml:space="preserve">The pilot and v1 experiments run in chemically defined medium based on the Hussain CDM formulation, which gives defined starting concentrations of free Asn, Asp, Gln and Glu. Rich media (TSB, MHB) are used only for MIC determination and strain viability checks, not for the integrated readout, because the amino acid pools are ill-defined.</w:t>
            </w:r>
          </w:p>
        </w:tc>
      </w:tr>
    </w:tbl>
    <w:p>
      <w:r>
        <w:br w:type="page"/>
      </w:r>
    </w:p>
    <w:p>
      <w:pPr>
        <w:pStyle w:val="Heading1"/>
      </w:pPr>
      <w:r>
        <w:t xml:space="preserve">SOP 1 — Master culture and split-culture drug treatment</w:t>
      </w:r>
    </w:p>
    <w:p>
      <w:pPr>
        <w:spacing w:after="100"/>
      </w:pPr>
      <w:r>
        <w:rPr>
          <w:b/>
          <w:bCs/>
        </w:rPr>
        <w:t xml:space="preserve">Purpose: generate a synchronised, biologically matched bacterial state that can be sampled in parallel across the three downstream readouts (hot tracer, acid-urea northern, small RNA).</w:t>
      </w:r>
    </w:p>
    <w:p>
      <w:pPr>
        <w:spacing w:after="120"/>
      </w:pPr>
      <w:r>
        <w:t xml:space="preserve"/>
      </w:r>
    </w:p>
    <w:p>
      <w:pPr>
        <w:pStyle w:val="Heading2"/>
      </w:pPr>
      <w:r>
        <w:t xml:space="preserve">1.1 Overview</w:t>
      </w:r>
    </w:p>
    <w:p>
      <w:pPr>
        <w:spacing w:after="100"/>
      </w:pPr>
      <w:r>
        <w:t xml:space="preserve">One master flask is grown to mid-exponential phase in chemically defined medium. At OD600 = 0.5, the master is split into matched daughter flasks of equal volume. Drug is applied simultaneously to all daughters. Time points are drawn from daughters into either hot-arm tubes (for tracer pulse and TCA) or clean-arm tubes (for RNA and acid-urea sampling). The pulse window is 15 min, starting 30 min after drug addition.</w:t>
      </w:r>
    </w:p>
    <w:p>
      <w:pPr>
        <w:spacing w:after="120"/>
      </w:pPr>
      <w:r>
        <w:t xml:space="preserve"/>
      </w:r>
    </w:p>
    <w:p>
      <w:pPr>
        <w:pStyle w:val="Heading2"/>
      </w:pPr>
      <w:r>
        <w:t xml:space="preserve">1.2 Materials</w:t>
      </w:r>
    </w:p>
    <w:p>
      <w:pPr>
        <w:pStyle w:val="ListParagraph"/>
        <w:numPr>
          <w:ilvl w:val="0"/>
          <w:numId w:val="2"/>
        </w:numPr>
        <w:spacing w:after="60"/>
      </w:pPr>
      <w:r>
        <w:t xml:space="preserve">Sterile chemically defined medium (CDM), 500 mL per experiment (pre-warmed to 37 °C).</w:t>
      </w:r>
    </w:p>
    <w:p>
      <w:pPr>
        <w:pStyle w:val="ListParagraph"/>
        <w:numPr>
          <w:ilvl w:val="0"/>
          <w:numId w:val="2"/>
        </w:numPr>
        <w:spacing w:after="60"/>
      </w:pPr>
      <w:r>
        <w:t xml:space="preserve">S. aureus glycerol stock (USA300 JE2 default), stored at –80 °C.</w:t>
      </w:r>
    </w:p>
    <w:p>
      <w:pPr>
        <w:pStyle w:val="ListParagraph"/>
        <w:numPr>
          <w:ilvl w:val="0"/>
          <w:numId w:val="2"/>
        </w:numPr>
        <w:spacing w:after="60"/>
      </w:pPr>
      <w:r>
        <w:t xml:space="preserve">Overnight preculture, prepared the previous day in 5 mL CDM in a 50 mL Falcon with loose cap, 37 °C 200 rpm.</w:t>
      </w:r>
    </w:p>
    <w:p>
      <w:pPr>
        <w:pStyle w:val="ListParagraph"/>
        <w:numPr>
          <w:ilvl w:val="0"/>
          <w:numId w:val="2"/>
        </w:numPr>
        <w:spacing w:after="60"/>
      </w:pPr>
      <w:r>
        <w:t xml:space="preserve">50 mL disposable conical flasks (baffled) or sidearm flasks for OD reads, one per daughter arm.</w:t>
      </w:r>
    </w:p>
    <w:p>
      <w:pPr>
        <w:pStyle w:val="ListParagraph"/>
        <w:numPr>
          <w:ilvl w:val="0"/>
          <w:numId w:val="2"/>
        </w:numPr>
        <w:spacing w:after="60"/>
      </w:pPr>
      <w:r>
        <w:t xml:space="preserve">Drug stocks: ESYLWS peptide (V12 series), 10 mM in DMSO or equivalent; chloramphenicol, 25 mg/mL in 100 % ethanol; vehicle controls matched to stock solvent.</w:t>
      </w:r>
    </w:p>
    <w:p>
      <w:pPr>
        <w:pStyle w:val="ListParagraph"/>
        <w:numPr>
          <w:ilvl w:val="0"/>
          <w:numId w:val="2"/>
        </w:numPr>
        <w:spacing w:after="60"/>
      </w:pPr>
      <w:r>
        <w:t xml:space="preserve">Timer, labelled 1.5 mL tubes for sampling, pre-chilled on ice.</w:t>
      </w:r>
    </w:p>
    <w:p>
      <w:pPr>
        <w:spacing w:after="120"/>
      </w:pPr>
      <w:r>
        <w:t xml:space="preserve"/>
      </w:r>
    </w:p>
    <w:p>
      <w:pPr>
        <w:pStyle w:val="Heading2"/>
      </w:pPr>
      <w:r>
        <w:t xml:space="preserve">1.3 Day -2: Media preparation</w:t>
      </w:r>
    </w:p>
    <w:p>
      <w:pPr>
        <w:pStyle w:val="ListParagraph"/>
        <w:numPr>
          <w:ilvl w:val="0"/>
          <w:numId w:val="3"/>
        </w:numPr>
        <w:spacing w:after="80"/>
      </w:pPr>
      <w:r>
        <w:t xml:space="preserve">Prepare 1 L CDM according to the Hussain formulation. Verify pH 7.2 after autoclaving (pH drifts during heat sterilisation). Filter-sterilise heat-labile components (vitamins, certain amino acids) and add after cooling.</w:t>
      </w:r>
    </w:p>
    <w:p>
      <w:pPr>
        <w:pStyle w:val="ListParagraph"/>
        <w:numPr>
          <w:ilvl w:val="0"/>
          <w:numId w:val="3"/>
        </w:numPr>
        <w:spacing w:after="80"/>
      </w:pPr>
      <w:r>
        <w:t xml:space="preserve">Prepare 100 mL aliquots in sterile bottles, store at 4 °C. Discard any aliquot older than 14 days.</w:t>
      </w:r>
    </w:p>
    <w:p>
      <w:pPr>
        <w:pStyle w:val="ListParagraph"/>
        <w:numPr>
          <w:ilvl w:val="0"/>
          <w:numId w:val="3"/>
        </w:numPr>
        <w:spacing w:after="80"/>
      </w:pPr>
      <w:r>
        <w:t xml:space="preserve">Prepare working drug dilutions fresh on the day of experiment. Do not freeze-thaw peptide stocks more than twice.</w:t>
      </w:r>
    </w:p>
    <w:p>
      <w:pPr>
        <w:spacing w:after="120"/>
      </w:pPr>
      <w:r>
        <w:t xml:space="preserve"/>
      </w:r>
    </w:p>
    <w:p>
      <w:pPr>
        <w:pStyle w:val="Heading2"/>
      </w:pPr>
      <w:r>
        <w:t xml:space="preserve">1.4 Day -1: Overnight preculture</w:t>
      </w:r>
    </w:p>
    <w:p>
      <w:pPr>
        <w:pStyle w:val="ListParagraph"/>
        <w:numPr>
          <w:ilvl w:val="0"/>
          <w:numId w:val="3"/>
        </w:numPr>
        <w:spacing w:after="80"/>
      </w:pPr>
      <w:r>
        <w:t xml:space="preserve">Streak S. aureus USA300 JE2 from –80 °C glycerol onto a fresh CDM agar plate. Incubate at 37 °C overnight.</w:t>
      </w:r>
    </w:p>
    <w:p>
      <w:pPr>
        <w:pStyle w:val="ListParagraph"/>
        <w:numPr>
          <w:ilvl w:val="0"/>
          <w:numId w:val="3"/>
        </w:numPr>
        <w:spacing w:after="80"/>
      </w:pPr>
      <w:r>
        <w:t xml:space="preserve">Pick a single colony into 5 mL CDM in a 50 mL Falcon tube, loose cap. Incubate at 37 °C, 200 rpm, 14–16 h.</w:t>
      </w:r>
    </w:p>
    <w:p>
      <w:pPr>
        <w:pStyle w:val="ListParagraph"/>
        <w:numPr>
          <w:ilvl w:val="0"/>
          <w:numId w:val="3"/>
        </w:numPr>
        <w:spacing w:after="80"/>
      </w:pPr>
      <w:r>
        <w:t xml:space="preserve">Verify preculture OD600 in the morning: expected range 2.5–3.5. Record in the experiment log.</w:t>
      </w:r>
    </w:p>
    <w:p>
      <w:pPr>
        <w:spacing w:after="120"/>
      </w:pPr>
      <w:r>
        <w:t xml:space="preserve"/>
      </w:r>
    </w:p>
    <w:p>
      <w:pPr>
        <w:pStyle w:val="Heading2"/>
      </w:pPr>
      <w:r>
        <w:t xml:space="preserve">1.5 Day 0: Master culture and split</w:t>
      </w:r>
    </w:p>
    <w:p>
      <w:pPr>
        <w:pStyle w:val="ListParagraph"/>
        <w:numPr>
          <w:ilvl w:val="0"/>
          <w:numId w:val="3"/>
        </w:numPr>
        <w:spacing w:after="80"/>
      </w:pPr>
      <w:r>
        <w:t xml:space="preserve">At T = –90 min relative to drug addition, dilute the preculture to OD600 = 0.05 into 100 mL pre-warmed CDM in a 500 mL baffled flask. This is the MASTER culture.</w:t>
      </w:r>
    </w:p>
    <w:p>
      <w:pPr>
        <w:pStyle w:val="ListParagraph"/>
        <w:numPr>
          <w:ilvl w:val="0"/>
          <w:numId w:val="3"/>
        </w:numPr>
        <w:spacing w:after="80"/>
      </w:pPr>
      <w:r>
        <w:t xml:space="preserve">Incubate at 37 °C, 200 rpm. Read OD600 every 15 min after T = –60 min until OD600 reaches 0.5 (typically around T = –30 min, strain-dependent). Record actual OD and timing.</w:t>
      </w:r>
    </w:p>
    <w:p>
      <w:pPr>
        <w:pStyle w:val="ListParagraph"/>
        <w:numPr>
          <w:ilvl w:val="0"/>
          <w:numId w:val="3"/>
        </w:numPr>
        <w:spacing w:after="80"/>
      </w:pPr>
      <w:r>
        <w:t xml:space="preserve">At OD600 = 0.5 (T = –15 min), pre-warm the required number of empty 50 mL conical flasks to 37 °C. Label each flask with: date, strain, drug condition, arm (HOT or CLEAN), replicate number.</w:t>
      </w:r>
    </w:p>
    <w:p>
      <w:pPr>
        <w:pStyle w:val="ListParagraph"/>
        <w:numPr>
          <w:ilvl w:val="0"/>
          <w:numId w:val="3"/>
        </w:numPr>
        <w:spacing w:after="80"/>
      </w:pPr>
      <w:r>
        <w:t xml:space="preserve">At T = 0 min, split the master culture by dispensing 10 mL into each daughter flask (for each drug × arm × replicate combination). Use a 25 mL serological pipette to minimise aeration differences. Record exact split time.</w:t>
      </w:r>
    </w:p>
    <w:p>
      <w:pPr>
        <w:pStyle w:val="ListParagraph"/>
        <w:numPr>
          <w:ilvl w:val="0"/>
          <w:numId w:val="3"/>
        </w:numPr>
        <w:spacing w:after="80"/>
      </w:pPr>
      <w:r>
        <w:t xml:space="preserve">Immediately add drug or vehicle to each daughter flask:</w:t>
      </w:r>
    </w:p>
    <w:p>
      <w:pPr>
        <w:pStyle w:val="ListParagraph"/>
        <w:numPr>
          <w:ilvl w:val="0"/>
          <w:numId w:val="4"/>
        </w:numPr>
        <w:spacing w:after="60"/>
      </w:pPr>
      <w:r>
        <w:t xml:space="preserve">a) Vehicle control: matched solvent volume (e.g. 10 μL DMSO into 10 mL).</w:t>
      </w:r>
    </w:p>
    <w:p>
      <w:pPr>
        <w:pStyle w:val="ListParagraph"/>
        <w:numPr>
          <w:ilvl w:val="0"/>
          <w:numId w:val="4"/>
        </w:numPr>
        <w:spacing w:after="60"/>
      </w:pPr>
      <w:r>
        <w:t xml:space="preserve">b) ESYLWS sub-MIC: typically 0.5 × MIC (determine beforehand; peptide-dependent).</w:t>
      </w:r>
    </w:p>
    <w:p>
      <w:pPr>
        <w:pStyle w:val="ListParagraph"/>
        <w:numPr>
          <w:ilvl w:val="0"/>
          <w:numId w:val="4"/>
        </w:numPr>
        <w:spacing w:after="60"/>
      </w:pPr>
      <w:r>
        <w:t xml:space="preserve">c) ESYLWS at MIC.</w:t>
      </w:r>
    </w:p>
    <w:p>
      <w:pPr>
        <w:pStyle w:val="ListParagraph"/>
        <w:numPr>
          <w:ilvl w:val="0"/>
          <w:numId w:val="4"/>
        </w:numPr>
        <w:spacing w:after="60"/>
      </w:pPr>
      <w:r>
        <w:t xml:space="preserve">d) Chloramphenicol at MIC (general-translation positive control).</w:t>
      </w:r>
    </w:p>
    <w:p>
      <w:pPr>
        <w:pStyle w:val="ListParagraph"/>
        <w:numPr>
          <w:ilvl w:val="0"/>
          <w:numId w:val="3"/>
        </w:numPr>
        <w:spacing w:after="80"/>
      </w:pPr>
      <w:r>
        <w:t xml:space="preserve">Return all daughter flasks to the 37 °C shaker. Start the master timer.</w:t>
      </w:r>
    </w:p>
    <w:p>
      <w:pPr>
        <w:spacing w:after="120"/>
      </w:pPr>
      <w:r>
        <w:t xml:space="preserve"/>
      </w:r>
    </w:p>
    <w:p>
      <w:pPr>
        <w:pStyle w:val="Heading2"/>
      </w:pPr>
      <w:r>
        <w:t xml:space="preserve">1.6 Sampling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2340"/>
        <w:gridCol w:w="2340"/>
        <w:gridCol w:w="3276"/>
      </w:tblGrid>
      <w:tr>
        <w:trPr>
          <w:tblHeader/>
        </w:trPr>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Time</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Clean arm</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Hot arm</w:t>
            </w:r>
          </w:p>
        </w:tc>
        <w:tc>
          <w:tcPr>
            <w:tcW w:type="dxa" w:w="327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Notes</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1 (pre-drug baseline, from master before split)</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Sample master BEFORE split; this is the shared baseline across all downstream arms</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T15</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2</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Early regulatory response; stringent-response kinetics</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T30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3</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Add tracer (³H-amino acid)</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Pulse starts now; 30 min pre-incubation with drug before tracer addition</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T45</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4</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End pulse, ice quench, TCA</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15 min pulse window; ice-quench stops uptake and translation simultaneously</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T60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5</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Post-pulse recovery / continuing effect</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T120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sample 6</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Late regulatory response</w:t>
            </w:r>
          </w:p>
        </w:tc>
      </w:tr>
    </w:tbl>
    <w:p>
      <w:pPr>
        <w:spacing w:after="120"/>
      </w:pPr>
      <w:r>
        <w:t xml:space="preserve"/>
      </w:r>
    </w:p>
    <w:p>
      <w:pPr>
        <w:pStyle w:val="Heading2"/>
      </w:pPr>
      <w:r>
        <w:t xml:space="preserve">1.7 Clean-arm sample collection</w:t>
      </w:r>
    </w:p>
    <w:p>
      <w:pPr>
        <w:pStyle w:val="ListParagraph"/>
        <w:numPr>
          <w:ilvl w:val="0"/>
          <w:numId w:val="3"/>
        </w:numPr>
        <w:spacing w:after="80"/>
      </w:pPr>
      <w:r>
        <w:t xml:space="preserve">At each time point, remove 1.5 mL from the clean-arm daughter flask into a pre-chilled 2 mL tube. Keep on ice for no more than 60 s.</w:t>
      </w:r>
    </w:p>
    <w:p>
      <w:pPr>
        <w:pStyle w:val="ListParagraph"/>
        <w:numPr>
          <w:ilvl w:val="0"/>
          <w:numId w:val="3"/>
        </w:numPr>
        <w:spacing w:after="80"/>
      </w:pPr>
      <w:r>
        <w:t xml:space="preserve">Centrifuge at 13 000 × g for 30 s at 4 °C.</w:t>
      </w:r>
    </w:p>
    <w:p>
      <w:pPr>
        <w:pStyle w:val="ListParagraph"/>
        <w:numPr>
          <w:ilvl w:val="0"/>
          <w:numId w:val="3"/>
        </w:numPr>
        <w:spacing w:after="80"/>
      </w:pPr>
      <w:r>
        <w:t xml:space="preserve">Decant supernatant rapidly. Snap-freeze the pellet in liquid nitrogen. Transfer to –80 °C.</w:t>
      </w:r>
    </w:p>
    <w:p>
      <w:pPr>
        <w:pStyle w:val="ListParagraph"/>
        <w:numPr>
          <w:ilvl w:val="0"/>
          <w:numId w:val="3"/>
        </w:numPr>
        <w:spacing w:after="80"/>
      </w:pPr>
      <w:r>
        <w:t xml:space="preserve">Samples for acid-urea northern receive 1 mL of cold 0.3 M NaOAc pH 4.5 / 10 mM EDTA for acid fixation BEFORE centrifugation (preserves aminoacyl bond). Samples for small RNA seq receive TRIzol LS directly onto the pellet. Label clearly which subset each tube belongs to.</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Quality checkpoint</w:t>
            </w:r>
          </w:p>
          <w:p>
            <w:r>
              <w:t xml:space="preserve">All clean-arm samples are on ice within 60 s and at –80 °C within 10 min. Any sample that exceeds this must be flagged and the replicate rerun. Aminoacyl-tRNA hydrolyses rapidly at neutral pH and room temperature; speed matters.</w:t>
            </w:r>
          </w:p>
        </w:tc>
      </w:tr>
    </w:tbl>
    <w:p>
      <w:r>
        <w:br w:type="page"/>
      </w:r>
    </w:p>
    <w:p>
      <w:pPr>
        <w:pStyle w:val="Heading1"/>
      </w:pPr>
      <w:r>
        <w:t xml:space="preserve">SOP 2 — Radiolabel incorporation assay (hot arm)</w:t>
      </w:r>
    </w:p>
    <w:p>
      <w:pPr>
        <w:spacing w:after="100"/>
      </w:pPr>
      <w:r>
        <w:rPr>
          <w:b/>
          <w:bCs/>
        </w:rPr>
        <w:t xml:space="preserve">Purpose: quantify the rate of amino acid incorporation into TCA-precipitable material (protein and, for ³H-Gly, peptidoglycan) under each drug condition. The diagnostic signal is the residue-class ratio [Asp or Asn] / [Leu] rather than absolute counts.</w:t>
      </w:r>
    </w:p>
    <w:p>
      <w:pPr>
        <w:spacing w:after="120"/>
      </w:pPr>
      <w:r>
        <w:t xml:space="preserve"/>
      </w:r>
    </w:p>
    <w:p>
      <w:pPr>
        <w:pStyle w:val="Heading2"/>
      </w:pPr>
      <w:r>
        <w:t xml:space="preserve">2.1 Overview</w:t>
      </w:r>
    </w:p>
    <w:p>
      <w:pPr>
        <w:spacing w:after="100"/>
      </w:pPr>
      <w:r>
        <w:t xml:space="preserve">A radiolabelled amino acid is pulsed into the daughter flask 30 min after drug addition. After a 15 min pulse, cultures are ice-quenched and TCA-precipitated onto GF/C filters. Filters are hot-TCA-washed to hydrolyse any incorporated nucleic acid, rinsed in ethanol, dried, and counted in a liquid scintillation counter. The Gly arm additionally fractionates protein and peptidoglycan for orthogonal readout of cell wall flux.</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BE4D5" w:val="clear"/>
            <w:tcMar>
              <w:top w:type="dxa" w:w="100"/>
              <w:left w:type="dxa" w:w="140"/>
              <w:bottom w:type="dxa" w:w="100"/>
              <w:right w:type="dxa" w:w="140"/>
            </w:tcMar>
          </w:tcPr>
          <w:p>
            <w:pPr>
              <w:spacing w:after="60"/>
            </w:pPr>
            <w:r>
              <w:rPr>
                <w:b/>
                <w:bCs/>
              </w:rPr>
              <w:t xml:space="preserve">Tritium position is not optional</w:t>
            </w:r>
          </w:p>
          <w:p>
            <w:r>
              <w:t xml:space="preserve">Label position matters. Use L-[2,3,3-³H]-Asn and L-[2,3-³H]-Asp (carbon skeleton only). Amide-N exchangeable tritium is lost at the AnsA deamination step and reports nothing about incorporation. Confirm the tritium position on the supplier's certificate of analysis before ordering.</w:t>
            </w:r>
          </w:p>
        </w:tc>
      </w:tr>
    </w:tbl>
    <w:p>
      <w:pPr>
        <w:spacing w:after="120"/>
      </w:pPr>
      <w:r>
        <w:t xml:space="preserve"/>
      </w:r>
    </w:p>
    <w:p>
      <w:pPr>
        <w:pStyle w:val="Heading2"/>
      </w:pPr>
      <w:r>
        <w:t xml:space="preserve">2.2 Materials</w:t>
      </w:r>
    </w:p>
    <w:p>
      <w:pPr>
        <w:pStyle w:val="ListParagraph"/>
        <w:numPr>
          <w:ilvl w:val="0"/>
          <w:numId w:val="2"/>
        </w:numPr>
        <w:spacing w:after="60"/>
      </w:pPr>
      <w:r>
        <w:t xml:space="preserve">Radiolabelled amino acid stocks: ³H-Asn, ³H-Asp, ³H-Leu, ³H-Gly (see Section 2.2 for catalogue).</w:t>
      </w:r>
    </w:p>
    <w:p>
      <w:pPr>
        <w:pStyle w:val="ListParagraph"/>
        <w:numPr>
          <w:ilvl w:val="0"/>
          <w:numId w:val="2"/>
        </w:numPr>
        <w:spacing w:after="60"/>
      </w:pPr>
      <w:r>
        <w:t xml:space="preserve">Working tracer dilutions prepared fresh in sterile CDM: target specific activity 5 μCi/mL (adjust for proteome abundance; Leu highest signal, Asp/Asn lower).</w:t>
      </w:r>
    </w:p>
    <w:p>
      <w:pPr>
        <w:pStyle w:val="ListParagraph"/>
        <w:numPr>
          <w:ilvl w:val="0"/>
          <w:numId w:val="2"/>
        </w:numPr>
        <w:spacing w:after="60"/>
      </w:pPr>
      <w:r>
        <w:t xml:space="preserve">Ice-cold 10 % trichloroacetic acid (TCA) in a wash bottle.</w:t>
      </w:r>
    </w:p>
    <w:p>
      <w:pPr>
        <w:pStyle w:val="ListParagraph"/>
        <w:numPr>
          <w:ilvl w:val="0"/>
          <w:numId w:val="2"/>
        </w:numPr>
        <w:spacing w:after="60"/>
      </w:pPr>
      <w:r>
        <w:t xml:space="preserve">Hot 5 % TCA (pre-heated to 90 °C in a water bath).</w:t>
      </w:r>
    </w:p>
    <w:p>
      <w:pPr>
        <w:pStyle w:val="ListParagraph"/>
        <w:numPr>
          <w:ilvl w:val="0"/>
          <w:numId w:val="2"/>
        </w:numPr>
        <w:spacing w:after="60"/>
      </w:pPr>
      <w:r>
        <w:t xml:space="preserve">Ice-cold 95 % ethanol.</w:t>
      </w:r>
    </w:p>
    <w:p>
      <w:pPr>
        <w:pStyle w:val="ListParagraph"/>
        <w:numPr>
          <w:ilvl w:val="0"/>
          <w:numId w:val="2"/>
        </w:numPr>
        <w:spacing w:after="60"/>
      </w:pPr>
      <w:r>
        <w:t xml:space="preserve">Whatman GF/C glass fibre filters, 25 mm.</w:t>
      </w:r>
    </w:p>
    <w:p>
      <w:pPr>
        <w:pStyle w:val="ListParagraph"/>
        <w:numPr>
          <w:ilvl w:val="0"/>
          <w:numId w:val="2"/>
        </w:numPr>
        <w:spacing w:after="60"/>
      </w:pPr>
      <w:r>
        <w:t xml:space="preserve">Filter manifold (5- or 12-place), vacuum source.</w:t>
      </w:r>
    </w:p>
    <w:p>
      <w:pPr>
        <w:pStyle w:val="ListParagraph"/>
        <w:numPr>
          <w:ilvl w:val="0"/>
          <w:numId w:val="2"/>
        </w:numPr>
        <w:spacing w:after="60"/>
      </w:pPr>
      <w:r>
        <w:t xml:space="preserve">Scintillation vials (20 mL HDPE), Ultima Gold scintillation cocktail (or equivalent ³H/¹⁴C-compatible).</w:t>
      </w:r>
    </w:p>
    <w:p>
      <w:pPr>
        <w:pStyle w:val="ListParagraph"/>
        <w:numPr>
          <w:ilvl w:val="0"/>
          <w:numId w:val="2"/>
        </w:numPr>
        <w:spacing w:after="60"/>
      </w:pPr>
      <w:r>
        <w:t xml:space="preserve">For Gly fractionation: 4 % SDS in 50 mM Tris pH 7.5; muramidase (mutanolysin, 250 U/mL working).</w:t>
      </w:r>
    </w:p>
    <w:p>
      <w:pPr>
        <w:spacing w:after="120"/>
      </w:pPr>
      <w:r>
        <w:t xml:space="preserve"/>
      </w:r>
    </w:p>
    <w:p>
      <w:pPr>
        <w:pStyle w:val="Heading2"/>
      </w:pPr>
      <w:r>
        <w:t xml:space="preserve">2.3 Tracer addition (T30)</w:t>
      </w:r>
    </w:p>
    <w:p>
      <w:pPr>
        <w:pStyle w:val="ListParagraph"/>
        <w:numPr>
          <w:ilvl w:val="0"/>
          <w:numId w:val="3"/>
        </w:numPr>
        <w:spacing w:after="80"/>
      </w:pPr>
      <w:r>
        <w:t xml:space="preserve">At T = 30 min (30 min after drug), transfer each hot-arm daughter flask from the shaker to a safe position at the hot bench. Keep at 37 °C on a heating block if possible.</w:t>
      </w:r>
    </w:p>
    <w:p>
      <w:pPr>
        <w:pStyle w:val="ListParagraph"/>
        <w:numPr>
          <w:ilvl w:val="0"/>
          <w:numId w:val="3"/>
        </w:numPr>
        <w:spacing w:after="80"/>
      </w:pPr>
      <w:r>
        <w:t xml:space="preserve">Using a positive-displacement pipette, add 100 μL tracer stock (5 μCi/mL in CDM) to each 10 mL culture, giving a final specific activity of 0.05 μCi/mL. Mix by gentle swirling. Record exact tracer addition time per flask.</w:t>
      </w:r>
    </w:p>
    <w:p>
      <w:pPr>
        <w:pStyle w:val="ListParagraph"/>
        <w:numPr>
          <w:ilvl w:val="0"/>
          <w:numId w:val="3"/>
        </w:numPr>
        <w:spacing w:after="80"/>
      </w:pPr>
      <w:r>
        <w:t xml:space="preserve">Return flasks to 37 °C, 200 rpm. The 15 min pulse window begins.</w:t>
      </w:r>
    </w:p>
    <w:p>
      <w:pPr>
        <w:spacing w:after="120"/>
      </w:pPr>
      <w:r>
        <w:t xml:space="preserve"/>
      </w:r>
    </w:p>
    <w:p>
      <w:pPr>
        <w:pStyle w:val="Heading2"/>
      </w:pPr>
      <w:r>
        <w:t xml:space="preserve">2.4 Pulse termination and TCA precipitation (T45)</w:t>
      </w:r>
    </w:p>
    <w:p>
      <w:pPr>
        <w:pStyle w:val="ListParagraph"/>
        <w:numPr>
          <w:ilvl w:val="0"/>
          <w:numId w:val="3"/>
        </w:numPr>
        <w:spacing w:after="80"/>
      </w:pPr>
      <w:r>
        <w:t xml:space="preserve">At T = 45 min (exactly 15 min after tracer addition), remove the flask and transfer 3 × 1 mL aliquots (technical triplicates) into three pre-chilled tubes containing 1 mL ice-cold 10 % TCA. Mix immediately by inversion.</w:t>
      </w:r>
    </w:p>
    <w:p>
      <w:pPr>
        <w:pStyle w:val="ListParagraph"/>
        <w:numPr>
          <w:ilvl w:val="0"/>
          <w:numId w:val="3"/>
        </w:numPr>
        <w:spacing w:after="80"/>
      </w:pPr>
      <w:r>
        <w:t xml:space="preserve">Incubate on ice for 20 min to complete precipitation.</w:t>
      </w:r>
    </w:p>
    <w:p>
      <w:pPr>
        <w:pStyle w:val="ListParagraph"/>
        <w:numPr>
          <w:ilvl w:val="0"/>
          <w:numId w:val="3"/>
        </w:numPr>
        <w:spacing w:after="80"/>
      </w:pPr>
      <w:r>
        <w:t xml:space="preserve">Apply each TCA-precipitated sample to a GF/C filter mounted in the manifold under mild vacuum. Wash each filter 3 times with 5 mL ice-cold 10 % TCA. Keep filters wet throughout.</w:t>
      </w:r>
    </w:p>
    <w:p>
      <w:pPr>
        <w:pStyle w:val="ListParagraph"/>
        <w:numPr>
          <w:ilvl w:val="0"/>
          <w:numId w:val="3"/>
        </w:numPr>
        <w:spacing w:after="80"/>
      </w:pPr>
      <w:r>
        <w:t xml:space="preserve">Transfer each filter into a separate tube containing 2 mL hot 5 % TCA preheated to 90 °C. Incubate 20 min at 90 °C (water bath). This hydrolyses any RNA or DNA incorporated radioactivity, which would otherwise co-precipitate and inflate the count.</w:t>
      </w:r>
    </w:p>
    <w:p>
      <w:pPr>
        <w:pStyle w:val="ListParagraph"/>
        <w:numPr>
          <w:ilvl w:val="0"/>
          <w:numId w:val="3"/>
        </w:numPr>
        <w:spacing w:after="80"/>
      </w:pPr>
      <w:r>
        <w:t xml:space="preserve">Return filters to the manifold. Wash once with 5 mL cold 5 % TCA and twice with 5 mL cold 95 % ethanol.</w:t>
      </w:r>
    </w:p>
    <w:p>
      <w:pPr>
        <w:pStyle w:val="ListParagraph"/>
        <w:numPr>
          <w:ilvl w:val="0"/>
          <w:numId w:val="3"/>
        </w:numPr>
        <w:spacing w:after="80"/>
      </w:pPr>
      <w:r>
        <w:t xml:space="preserve">Transfer filters to a clean absorbent sheet and air-dry 15 min (or use a vacuum oven at 50 °C for 5 min).</w:t>
      </w:r>
    </w:p>
    <w:p>
      <w:pPr>
        <w:pStyle w:val="ListParagraph"/>
        <w:numPr>
          <w:ilvl w:val="0"/>
          <w:numId w:val="3"/>
        </w:numPr>
        <w:spacing w:after="80"/>
      </w:pPr>
      <w:r>
        <w:t xml:space="preserve">Place each dry filter into a 20 mL scintillation vial. Add 10 mL Ultima Gold, cap tightly, invert to mix.</w:t>
      </w:r>
    </w:p>
    <w:p>
      <w:pPr>
        <w:pStyle w:val="ListParagraph"/>
        <w:numPr>
          <w:ilvl w:val="0"/>
          <w:numId w:val="3"/>
        </w:numPr>
        <w:spacing w:after="80"/>
      </w:pPr>
      <w:r>
        <w:t xml:space="preserve">Count in the Tri-Carb for 2 min per vial on the ³H channel (or dual ³H/¹⁴C if hybrid-labelled). Record DPM (decays per minute) after machine-corrected background subtraction.</w:t>
      </w:r>
    </w:p>
    <w:p>
      <w:pPr>
        <w:spacing w:after="120"/>
      </w:pPr>
      <w:r>
        <w:t xml:space="preserve"/>
      </w:r>
    </w:p>
    <w:p>
      <w:pPr>
        <w:pStyle w:val="Heading2"/>
      </w:pPr>
      <w:r>
        <w:t xml:space="preserve">2.5 Gly fractionation (Gly tracer only)</w:t>
      </w:r>
    </w:p>
    <w:p>
      <w:pPr>
        <w:spacing w:after="100"/>
      </w:pPr>
      <w:r>
        <w:t xml:space="preserve">For ³H-Gly samples, after the hot-TCA step the filter-retained material contains both protein-incorporated and peptidoglycan-incorporated Gly. Fractionation separates these.</w:t>
      </w:r>
    </w:p>
    <w:p>
      <w:pPr>
        <w:pStyle w:val="ListParagraph"/>
        <w:numPr>
          <w:ilvl w:val="0"/>
          <w:numId w:val="3"/>
        </w:numPr>
        <w:spacing w:after="80"/>
      </w:pPr>
      <w:r>
        <w:t xml:space="preserve">Split the TCA-precipitated, hot-TCA-washed material into two equal parts before mounting on GF/C.</w:t>
      </w:r>
    </w:p>
    <w:p>
      <w:pPr>
        <w:pStyle w:val="ListParagraph"/>
        <w:numPr>
          <w:ilvl w:val="0"/>
          <w:numId w:val="3"/>
        </w:numPr>
        <w:spacing w:after="80"/>
      </w:pPr>
      <w:r>
        <w:t xml:space="preserve">Fraction A (total): proceed as Section 2.4. This gives total ³H-Gly incorporation.</w:t>
      </w:r>
    </w:p>
    <w:p>
      <w:pPr>
        <w:pStyle w:val="ListParagraph"/>
        <w:numPr>
          <w:ilvl w:val="0"/>
          <w:numId w:val="3"/>
        </w:numPr>
        <w:spacing w:after="80"/>
      </w:pPr>
      <w:r>
        <w:t xml:space="preserve">Fraction B (peptidoglycan sacculus): resuspend precipitate in 4 % SDS / 50 mM Tris pH 7.5, incubate at 95 °C for 30 min to strip non-covalent protein. Centrifuge 16 000 × g, 10 min. Wash SDS pellet three times with water. Resuspend in 100 mM Tris pH 7.0 and digest with mutanolysin 250 U/mL at 37 °C for 4 h. Apply to GF/C filter and count as in Section 2.4. This gives the peptidoglycan-associated ³H-Gly.</w:t>
      </w:r>
    </w:p>
    <w:p>
      <w:pPr>
        <w:pStyle w:val="ListParagraph"/>
        <w:numPr>
          <w:ilvl w:val="0"/>
          <w:numId w:val="3"/>
        </w:numPr>
        <w:spacing w:after="80"/>
      </w:pPr>
      <w:r>
        <w:t xml:space="preserve">Protein-associated Gly = Fraction A − Fraction B (calculated, not measured directly).</w:t>
      </w:r>
    </w:p>
    <w:p>
      <w:pPr>
        <w:spacing w:after="120"/>
      </w:pPr>
      <w:r>
        <w:t xml:space="preserve"/>
      </w:r>
    </w:p>
    <w:p>
      <w:pPr>
        <w:pStyle w:val="Heading2"/>
      </w:pPr>
      <w:r>
        <w:t xml:space="preserve">2.6 QC and calculations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76"/>
        <w:gridCol w:w="6084"/>
      </w:tblGrid>
      <w:tr>
        <w:trPr>
          <w:tblHeader/>
        </w:trPr>
        <w:tc>
          <w:tcPr>
            <w:tcW w:type="dxa" w:w="327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QC metric</w:t>
            </w:r>
          </w:p>
        </w:tc>
        <w:tc>
          <w:tcPr>
            <w:tcW w:type="dxa" w:w="608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Acceptance criterion</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Background (no-cells control, tracer + TCA)</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5 % of vehicle-condition signal</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Vehicle CV across replicates</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15 %</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Chloramphenicol-condition reduction</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70 % across all tracers (validates general translation inhibition works)</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Dynamic range</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Vehicle DPM &gt; 20 × background DPM</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GF/C filter carryover</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Serial filter punches with same solution &lt; 2 % signal transfer</w:t>
            </w:r>
          </w:p>
        </w:tc>
      </w:tr>
    </w:tbl>
    <w:p>
      <w:pPr>
        <w:spacing w:after="120"/>
      </w:pPr>
      <w:r>
        <w:t xml:space="preserve"/>
      </w:r>
    </w:p>
    <w:p>
      <w:pPr>
        <w:spacing w:after="100"/>
      </w:pPr>
      <w:r>
        <w:t xml:space="preserve">Normalise each sample to total biomass: parallel OD600 read at pulse-end, or BCA on the TCA-pellet after hydrolysis. Primary analytic comparisons are:</w:t>
      </w:r>
    </w:p>
    <w:p>
      <w:pPr>
        <w:pStyle w:val="ListParagraph"/>
        <w:numPr>
          <w:ilvl w:val="0"/>
          <w:numId w:val="2"/>
        </w:numPr>
        <w:spacing w:after="60"/>
      </w:pPr>
      <w:r>
        <w:t xml:space="preserve">[³H-Asn] / [³H-Leu] at each drug condition, expressed as fold-change vs vehicle. GatCAB-specific signature: this ratio drops below 0.6 at sub-MIC ESYLWS while chloramphenicol preserves it near 1.0.</w:t>
      </w:r>
    </w:p>
    <w:p>
      <w:pPr>
        <w:pStyle w:val="ListParagraph"/>
        <w:numPr>
          <w:ilvl w:val="0"/>
          <w:numId w:val="2"/>
        </w:numPr>
        <w:spacing w:after="60"/>
      </w:pPr>
      <w:r>
        <w:t xml:space="preserve">[³H-Asp] / [³H-Leu], same logic as above. Should drop in parallel with Asn but without the AnsA lag.</w:t>
      </w:r>
    </w:p>
    <w:p>
      <w:pPr>
        <w:pStyle w:val="ListParagraph"/>
        <w:numPr>
          <w:ilvl w:val="0"/>
          <w:numId w:val="2"/>
        </w:numPr>
        <w:spacing w:after="60"/>
      </w:pPr>
      <w:r>
        <w:t xml:space="preserve">[³H-Gly protein] / [³H-Gly peptidoglycan]. Divergence implies a cell-wall axis in addition to, or instead of, the translation axis.</w:t>
      </w:r>
    </w:p>
    <w:p>
      <w:r>
        <w:br w:type="page"/>
      </w:r>
    </w:p>
    <w:p>
      <w:pPr>
        <w:pStyle w:val="Heading1"/>
      </w:pPr>
      <w:r>
        <w:t xml:space="preserve">SOP 3 — Acid-urea PAGE and northern blot for tRNA-Asn charging</w:t>
      </w:r>
    </w:p>
    <w:p>
      <w:pPr>
        <w:spacing w:after="100"/>
      </w:pPr>
      <w:r>
        <w:rPr>
          <w:b/>
          <w:bCs/>
        </w:rPr>
        <w:t xml:space="preserve">Purpose: resolve uncharged, Asp-mischarged, and Asn-fully-charged tRNA-Asn as distinct bands under low-pH denaturing conditions, and quantify the charging state distribution by specific northern hybridisation. This is the direct biochemical readout of GatCAB activity.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Why this is the headline experiment</w:t>
            </w:r>
          </w:p>
          <w:p>
            <w:r>
              <w:t xml:space="preserve">If GatCAB is blocked by ESYLWS, Asp-tRNA-Asn accumulates and cannot proceed to Asn-tRNA-Asn. Under acid denaturing conditions the aminoacyl bond is preserved, and the Asp-charged and Asn-charged species differ by one amide group (~1 Da plus charge), which is resolvable on a well-run acid-urea gel. Band intensity ratios report the flux through the transamidation step directly. This is the direct biochemical smoking gun the other readouts infer.</w:t>
            </w:r>
          </w:p>
        </w:tc>
      </w:tr>
    </w:tbl>
    <w:p>
      <w:pPr>
        <w:spacing w:after="120"/>
      </w:pPr>
      <w:r>
        <w:t xml:space="preserve"/>
      </w:r>
    </w:p>
    <w:p>
      <w:pPr>
        <w:pStyle w:val="Heading2"/>
      </w:pPr>
      <w:r>
        <w:t xml:space="preserve">3.1 Materials</w:t>
      </w:r>
    </w:p>
    <w:p>
      <w:pPr>
        <w:pStyle w:val="ListParagraph"/>
        <w:numPr>
          <w:ilvl w:val="0"/>
          <w:numId w:val="2"/>
        </w:numPr>
        <w:spacing w:after="60"/>
      </w:pPr>
      <w:r>
        <w:t xml:space="preserve">Acid-urea gel stock: 10 % polyacrylamide (19:1 acrylamide:bis), 8 M urea, 100 mM NaOAc pH 5.0. Prepare fresh weekly.</w:t>
      </w:r>
    </w:p>
    <w:p>
      <w:pPr>
        <w:pStyle w:val="ListParagraph"/>
        <w:numPr>
          <w:ilvl w:val="0"/>
          <w:numId w:val="2"/>
        </w:numPr>
        <w:spacing w:after="60"/>
      </w:pPr>
      <w:r>
        <w:t xml:space="preserve">Acid running buffer: 100 mM NaOAc pH 5.0 (note: unusually low pH for PAGE; this preserves the aminoacyl ester bond).</w:t>
      </w:r>
    </w:p>
    <w:p>
      <w:pPr>
        <w:pStyle w:val="ListParagraph"/>
        <w:numPr>
          <w:ilvl w:val="0"/>
          <w:numId w:val="2"/>
        </w:numPr>
        <w:spacing w:after="60"/>
      </w:pPr>
      <w:r>
        <w:t xml:space="preserve">Sample loading buffer (2×): 10 M urea, 0.05 % bromophenol blue, 10 mM NaOAc pH 5.0.</w:t>
      </w:r>
    </w:p>
    <w:p>
      <w:pPr>
        <w:pStyle w:val="ListParagraph"/>
        <w:numPr>
          <w:ilvl w:val="0"/>
          <w:numId w:val="2"/>
        </w:numPr>
        <w:spacing w:after="60"/>
      </w:pPr>
      <w:r>
        <w:t xml:space="preserve">Deacylation control: parallel aliquot of each RNA sample treated with 100 mM Tris pH 9.0 at 37 °C for 30 min (removes all aminoacyl groups; collapses bands to single uncharged position).</w:t>
      </w:r>
    </w:p>
    <w:p>
      <w:pPr>
        <w:pStyle w:val="ListParagraph"/>
        <w:numPr>
          <w:ilvl w:val="0"/>
          <w:numId w:val="2"/>
        </w:numPr>
        <w:spacing w:after="60"/>
      </w:pPr>
      <w:r>
        <w:t xml:space="preserve">Transfer membrane: positively charged nylon (Amersham Hybond-N+) or equivalent.</w:t>
      </w:r>
    </w:p>
    <w:p>
      <w:pPr>
        <w:pStyle w:val="ListParagraph"/>
        <w:numPr>
          <w:ilvl w:val="0"/>
          <w:numId w:val="2"/>
        </w:numPr>
        <w:spacing w:after="60"/>
      </w:pPr>
      <w:r>
        <w:t xml:space="preserve">Probe: 5′-end-labelled DNA oligonucleotide complementary to the acceptor stem region of S. aureus tRNA-Asn (NNN GUU sequence family). Sequence designed against GtRNAdb S. aureus tRNA-Asn consensus, 20–25 nt, Tm around 55–60 °C. Labelled with γ-[³²P]-ATP using T4 PNK, or biotinylated equivalent if avoiding ³²P.</w:t>
      </w:r>
    </w:p>
    <w:p>
      <w:pPr>
        <w:pStyle w:val="ListParagraph"/>
        <w:numPr>
          <w:ilvl w:val="0"/>
          <w:numId w:val="2"/>
        </w:numPr>
        <w:spacing w:after="60"/>
      </w:pPr>
      <w:r>
        <w:t xml:space="preserve">Hybridisation buffer (DIG Easy Hyb or equivalent).</w:t>
      </w:r>
    </w:p>
    <w:p>
      <w:pPr>
        <w:pStyle w:val="ListParagraph"/>
        <w:numPr>
          <w:ilvl w:val="0"/>
          <w:numId w:val="2"/>
        </w:numPr>
        <w:spacing w:after="60"/>
      </w:pPr>
      <w:r>
        <w:t xml:space="preserve">Phosphorimager and plates (or biotin-streptavidin-HRP if non-radioactive).</w:t>
      </w:r>
    </w:p>
    <w:p>
      <w:pPr>
        <w:spacing w:after="120"/>
      </w:pPr>
      <w:r>
        <w:t xml:space="preserve"/>
      </w:r>
    </w:p>
    <w:p>
      <w:pPr>
        <w:pStyle w:val="Heading2"/>
      </w:pPr>
      <w:r>
        <w:t xml:space="preserve">3.2 RNA extraction under acid conditions</w:t>
      </w:r>
    </w:p>
    <w:p>
      <w:pPr>
        <w:pStyle w:val="ListParagraph"/>
        <w:numPr>
          <w:ilvl w:val="0"/>
          <w:numId w:val="3"/>
        </w:numPr>
        <w:spacing w:after="80"/>
      </w:pPr>
      <w:r>
        <w:t xml:space="preserve">Retrieve the acid-fixed pellets from −80 °C (clean-arm samples in 0.3 M NaOAc pH 4.5 / 10 mM EDTA).</w:t>
      </w:r>
    </w:p>
    <w:p>
      <w:pPr>
        <w:pStyle w:val="ListParagraph"/>
        <w:numPr>
          <w:ilvl w:val="0"/>
          <w:numId w:val="3"/>
        </w:numPr>
        <w:spacing w:after="80"/>
      </w:pPr>
      <w:r>
        <w:t xml:space="preserve">Resuspend pellet in 200 μL cold 0.3 M NaOAc pH 4.5 / 10 mM EDTA. Add an equal volume of acid phenol:chloroform (5:1) pre-equilibrated to pH 4.5.</w:t>
      </w:r>
    </w:p>
    <w:p>
      <w:pPr>
        <w:pStyle w:val="ListParagraph"/>
        <w:numPr>
          <w:ilvl w:val="0"/>
          <w:numId w:val="3"/>
        </w:numPr>
        <w:spacing w:after="80"/>
      </w:pPr>
      <w:r>
        <w:t xml:space="preserve">Vortex 30 s, incubate on ice 5 min, centrifuge 13 000 × g, 10 min, 4 °C. Transfer aqueous phase to a new cold tube. Re-extract with acid phenol:chloroform once more.</w:t>
      </w:r>
    </w:p>
    <w:p>
      <w:pPr>
        <w:pStyle w:val="ListParagraph"/>
        <w:numPr>
          <w:ilvl w:val="0"/>
          <w:numId w:val="3"/>
        </w:numPr>
        <w:spacing w:after="80"/>
      </w:pPr>
      <w:r>
        <w:t xml:space="preserve">Precipitate RNA with 2.5 vol cold 100 % ethanol, 1/10 vol 3 M NaOAc pH 4.5. Incubate at –80 °C for 30 min or overnight.</w:t>
      </w:r>
    </w:p>
    <w:p>
      <w:pPr>
        <w:pStyle w:val="ListParagraph"/>
        <w:numPr>
          <w:ilvl w:val="0"/>
          <w:numId w:val="3"/>
        </w:numPr>
        <w:spacing w:after="80"/>
      </w:pPr>
      <w:r>
        <w:t xml:space="preserve">Centrifuge 16 000 × g, 30 min, 4 °C. Wash pellet with cold 70 % ethanol (prepared with DEPC-water and acidified to pH 4.5 with 10 mM NaOAc). Air-dry briefly on ice.</w:t>
      </w:r>
    </w:p>
    <w:p>
      <w:pPr>
        <w:pStyle w:val="ListParagraph"/>
        <w:numPr>
          <w:ilvl w:val="0"/>
          <w:numId w:val="3"/>
        </w:numPr>
        <w:spacing w:after="80"/>
      </w:pPr>
      <w:r>
        <w:t xml:space="preserve">Resuspend in 20 μL cold 10 mM NaOAc pH 4.5 / 1 mM EDTA. Quantify by NanoDrop, keep on ice, proceed immediately to gel loading. Do not freeze-thaw.</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BE4D5" w:val="clear"/>
            <w:tcMar>
              <w:top w:type="dxa" w:w="100"/>
              <w:left w:type="dxa" w:w="140"/>
              <w:bottom w:type="dxa" w:w="100"/>
              <w:right w:type="dxa" w:w="140"/>
            </w:tcMar>
          </w:tcPr>
          <w:p>
            <w:pPr>
              <w:spacing w:after="60"/>
            </w:pPr>
            <w:r>
              <w:rPr>
                <w:b/>
                <w:bCs/>
              </w:rPr>
              <w:t xml:space="preserve">The pH discipline</w:t>
            </w:r>
          </w:p>
          <w:p>
            <w:r>
              <w:t xml:space="preserve">Aminoacyl-tRNA ester bonds hydrolyse rapidly above pH 7 at room temperature (half-life minutes). Every buffer, pipette tip, and tube in contact with the RNA must be acid, cold, and used immediately. Control aliquot deacylation (Tris pH 9) is deliberate and shows the fully-hydrolysed band position; it must be run as a reference lane on every gel.</w:t>
            </w:r>
          </w:p>
        </w:tc>
      </w:tr>
    </w:tbl>
    <w:p>
      <w:pPr>
        <w:spacing w:after="120"/>
      </w:pPr>
      <w:r>
        <w:t xml:space="preserve"/>
      </w:r>
    </w:p>
    <w:p>
      <w:pPr>
        <w:pStyle w:val="Heading2"/>
      </w:pPr>
      <w:r>
        <w:t xml:space="preserve">3.3 Gel running</w:t>
      </w:r>
    </w:p>
    <w:p>
      <w:pPr>
        <w:pStyle w:val="ListParagraph"/>
        <w:numPr>
          <w:ilvl w:val="0"/>
          <w:numId w:val="3"/>
        </w:numPr>
        <w:spacing w:after="80"/>
      </w:pPr>
      <w:r>
        <w:t xml:space="preserve">Pre-run the gel at 8 V/cm in 100 mM NaOAc pH 5.0 for 30 min at 4 °C. Replace buffer.</w:t>
      </w:r>
    </w:p>
    <w:p>
      <w:pPr>
        <w:pStyle w:val="ListParagraph"/>
        <w:numPr>
          <w:ilvl w:val="0"/>
          <w:numId w:val="3"/>
        </w:numPr>
        <w:spacing w:after="80"/>
      </w:pPr>
      <w:r>
        <w:t xml:space="preserve">Mix RNA samples 1:1 with 2× loading buffer on ice. Do NOT heat-denature (would hydrolyse the aminoacyl bond).</w:t>
      </w:r>
    </w:p>
    <w:p>
      <w:pPr>
        <w:pStyle w:val="ListParagraph"/>
        <w:numPr>
          <w:ilvl w:val="0"/>
          <w:numId w:val="3"/>
        </w:numPr>
        <w:spacing w:after="80"/>
      </w:pPr>
      <w:r>
        <w:t xml:space="preserve">Load 1–2 μg total RNA per lane. Include a deacylation control lane (same sample, pre-treated pH 9) as the reference for the uncharged band position.</w:t>
      </w:r>
    </w:p>
    <w:p>
      <w:pPr>
        <w:pStyle w:val="ListParagraph"/>
        <w:numPr>
          <w:ilvl w:val="0"/>
          <w:numId w:val="3"/>
        </w:numPr>
        <w:spacing w:after="80"/>
      </w:pPr>
      <w:r>
        <w:t xml:space="preserve">Run at 8 V/cm at 4 °C until bromophenol blue is at 2/3 gel length (typically 4–6 h for a 20 cm gel, or overnight for sequencing-format rigs). Fresh buffer changes every 2 h during long runs to maintain pH.</w:t>
      </w:r>
    </w:p>
    <w:p>
      <w:pPr>
        <w:spacing w:after="120"/>
      </w:pPr>
      <w:r>
        <w:t xml:space="preserve"/>
      </w:r>
    </w:p>
    <w:p>
      <w:pPr>
        <w:pStyle w:val="Heading2"/>
      </w:pPr>
      <w:r>
        <w:t xml:space="preserve">3.4 Transfer and hybridisation</w:t>
      </w:r>
    </w:p>
    <w:p>
      <w:pPr>
        <w:pStyle w:val="ListParagraph"/>
        <w:numPr>
          <w:ilvl w:val="0"/>
          <w:numId w:val="3"/>
        </w:numPr>
        <w:spacing w:after="80"/>
      </w:pPr>
      <w:r>
        <w:t xml:space="preserve">Semi-dry transfer to positively charged nylon in 25 mM sodium phosphate pH 5.5, 30 min, 15 V. Alternative: wet transfer in 0.5× TBE, 4 °C overnight at 20 V.</w:t>
      </w:r>
    </w:p>
    <w:p>
      <w:pPr>
        <w:pStyle w:val="ListParagraph"/>
        <w:numPr>
          <w:ilvl w:val="0"/>
          <w:numId w:val="3"/>
        </w:numPr>
        <w:spacing w:after="80"/>
      </w:pPr>
      <w:r>
        <w:t xml:space="preserve">UV-crosslink (120 mJ/cm² in auto-crosslink mode on Stratalinker).</w:t>
      </w:r>
    </w:p>
    <w:p>
      <w:pPr>
        <w:pStyle w:val="ListParagraph"/>
        <w:numPr>
          <w:ilvl w:val="0"/>
          <w:numId w:val="3"/>
        </w:numPr>
        <w:spacing w:after="80"/>
      </w:pPr>
      <w:r>
        <w:t xml:space="preserve">Pre-hybridise in DIG Easy Hyb at 42 °C for 30 min.</w:t>
      </w:r>
    </w:p>
    <w:p>
      <w:pPr>
        <w:pStyle w:val="ListParagraph"/>
        <w:numPr>
          <w:ilvl w:val="0"/>
          <w:numId w:val="3"/>
        </w:numPr>
        <w:spacing w:after="80"/>
      </w:pPr>
      <w:r>
        <w:t xml:space="preserve">Add ³²P-end-labelled tRNA-Asn probe (10⁶ cpm/mL final) and hybridise at 42 °C for 4 h or overnight.</w:t>
      </w:r>
    </w:p>
    <w:p>
      <w:pPr>
        <w:pStyle w:val="ListParagraph"/>
        <w:numPr>
          <w:ilvl w:val="0"/>
          <w:numId w:val="3"/>
        </w:numPr>
        <w:spacing w:after="80"/>
      </w:pPr>
      <w:r>
        <w:t xml:space="preserve">Wash: 2 × 5 min in 2× SSC / 0.1 % SDS at 42 °C; 2 × 10 min in 0.2× SSC / 0.1 % SDS at 42 °C.</w:t>
      </w:r>
    </w:p>
    <w:p>
      <w:pPr>
        <w:pStyle w:val="ListParagraph"/>
        <w:numPr>
          <w:ilvl w:val="0"/>
          <w:numId w:val="3"/>
        </w:numPr>
        <w:spacing w:after="80"/>
      </w:pPr>
      <w:r>
        <w:t xml:space="preserve">Wrap damp membrane in cling-film and expose to phosphorimager plate overnight. Scan.</w:t>
      </w:r>
    </w:p>
    <w:p>
      <w:pPr>
        <w:spacing w:after="120"/>
      </w:pPr>
      <w:r>
        <w:t xml:space="preserve"/>
      </w:r>
    </w:p>
    <w:p>
      <w:pPr>
        <w:pStyle w:val="Heading2"/>
      </w:pPr>
      <w:r>
        <w:t xml:space="preserve">3.5 Band identification and quantification</w:t>
      </w:r>
    </w:p>
    <w:p>
      <w:pPr>
        <w:spacing w:after="100"/>
      </w:pPr>
      <w:r>
        <w:t xml:space="preserve">Under optimised conditions three bands resolve for the tRNA-Asn probe in wild-type S. aureus: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rPr>
          <w:tblHeader/>
        </w:trPr>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Band</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Position (relative)</w:t>
            </w:r>
          </w:p>
        </w:tc>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Identity</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Top</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Slowest migration</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Asn-tRNA-Asn (fully charged, normal product of the pathway)</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Middle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Intermediate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Asp-tRNA-Asn (mischarged intermediate, accumulates on GatCAB block)</w:t>
            </w:r>
          </w:p>
        </w:tc>
      </w:tr>
      <w:tr>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Bottom</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Fastest migration</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Uncharged tRNA-Asn (matches the deacylation-control reference lane)</w:t>
            </w:r>
          </w:p>
        </w:tc>
      </w:tr>
    </w:tbl>
    <w:p>
      <w:pPr>
        <w:spacing w:after="120"/>
      </w:pPr>
      <w:r>
        <w:t xml:space="preserve"/>
      </w:r>
    </w:p>
    <w:p>
      <w:pPr>
        <w:spacing w:after="100"/>
      </w:pPr>
      <w:r>
        <w:t xml:space="preserve">Quantify band intensity using ImageJ or ImageQuant. Express each species as a fraction of total tRNA-Asn signal per lane. The diagnostic quantity is:</w:t>
      </w:r>
    </w:p>
    <w:p>
      <w:pPr>
        <w:spacing w:after="100"/>
      </w:pPr>
      <w:r>
        <w:rPr>
          <w:i/>
          <w:iCs/>
        </w:rPr>
        <w:t xml:space="preserve">Transamidation efficiency = </w:t>
      </w:r>
      <w:r>
        <w:rPr>
          <w:b/>
          <w:bCs/>
        </w:rPr>
        <w:t xml:space="preserve">[Asn-tRNA-Asn] / ([Asp-tRNA-Asn] + [Asn-tRNA-Asn])</w:t>
      </w:r>
    </w:p>
    <w:p>
      <w:pPr>
        <w:spacing w:after="100"/>
      </w:pPr>
      <w:r>
        <w:t xml:space="preserve">A clean GatCAB block drives this ratio toward zero. Vehicle control should show this ratio at or near 1.0.</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Specificity control</w:t>
            </w:r>
          </w:p>
          <w:p>
            <w:r>
              <w:t xml:space="preserve">Always run the same samples against a parallel northern for tRNA-Leu (or tRNA-Lys, anything not GatCAB-dependent). The control tRNA should show only a single fully-charged band in all conditions. If the control tRNA also shows a shift, the phenotype is not GatCAB-specific and likely reflects general aminoacylation stress or ribosome collapse.</w:t>
            </w:r>
          </w:p>
        </w:tc>
      </w:tr>
    </w:tbl>
    <w:p>
      <w:r>
        <w:br w:type="page"/>
      </w:r>
    </w:p>
    <w:p>
      <w:pPr>
        <w:pStyle w:val="Heading1"/>
      </w:pPr>
      <w:r>
        <w:t xml:space="preserve">SOP 4 — Small RNA extraction and library preparation</w:t>
      </w:r>
    </w:p>
    <w:p>
      <w:pPr>
        <w:spacing w:after="100"/>
      </w:pPr>
      <w:r>
        <w:rPr>
          <w:b/>
          <w:bCs/>
        </w:rPr>
        <w:t xml:space="preserve">Purpose: profile the full 15–200 nt small RNA population across conditions, with particular attention to bacterial tRFs (tRNA-Asn-derived fragments, tRF-3b^Asn) and the stringent-response sRNA cohort. Library prep includes the non-standard pretreatments required to capture bacterial tRFs, which carry end modifications and base modifications that block standard protocols.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Why bacterial tRFs are invisible in standard small RNA libraries</w:t>
            </w:r>
          </w:p>
          <w:p>
            <w:r>
              <w:t xml:space="preserve">Bacterial tRFs carry 2′,3′-cyclic phosphate at the 3′ end (from RNase-mediated cleavage), and often bear m1A, m3C, m1G, m7G base modifications inherited from the parental tRNA. The 2′,3′-cyclic phosphate blocks T4 RNA ligase 1. Base modifications block reverse transcriptase. Without CIP + T4 PNK end-repair and AlkB demethylation, most bacterial tRFs are systematically lost from standard small RNA libraries. These pretreatments are non-negotiable for our assay.</w:t>
            </w:r>
          </w:p>
        </w:tc>
      </w:tr>
    </w:tbl>
    <w:p>
      <w:pPr>
        <w:spacing w:after="120"/>
      </w:pPr>
      <w:r>
        <w:t xml:space="preserve"/>
      </w:r>
    </w:p>
    <w:p>
      <w:pPr>
        <w:pStyle w:val="Heading2"/>
      </w:pPr>
      <w:r>
        <w:t xml:space="preserve">4.1 Materials</w:t>
      </w:r>
    </w:p>
    <w:p>
      <w:pPr>
        <w:pStyle w:val="ListParagraph"/>
        <w:numPr>
          <w:ilvl w:val="0"/>
          <w:numId w:val="2"/>
        </w:numPr>
        <w:spacing w:after="60"/>
      </w:pPr>
      <w:r>
        <w:t xml:space="preserve">TRIzol LS reagent.</w:t>
      </w:r>
    </w:p>
    <w:p>
      <w:pPr>
        <w:pStyle w:val="ListParagraph"/>
        <w:numPr>
          <w:ilvl w:val="0"/>
          <w:numId w:val="2"/>
        </w:numPr>
        <w:spacing w:after="60"/>
      </w:pPr>
      <w:r>
        <w:t xml:space="preserve">miRNeasy Mini Kit (Qiagen 217004; uses phenol + column hybrid workflow that retains small RNA).</w:t>
      </w:r>
    </w:p>
    <w:p>
      <w:pPr>
        <w:pStyle w:val="ListParagraph"/>
        <w:numPr>
          <w:ilvl w:val="0"/>
          <w:numId w:val="2"/>
        </w:numPr>
        <w:spacing w:after="60"/>
      </w:pPr>
      <w:r>
        <w:t xml:space="preserve">T4 Polynucleotide Kinase (NEB M0201S).</w:t>
      </w:r>
    </w:p>
    <w:p>
      <w:pPr>
        <w:pStyle w:val="ListParagraph"/>
        <w:numPr>
          <w:ilvl w:val="0"/>
          <w:numId w:val="2"/>
        </w:numPr>
        <w:spacing w:after="60"/>
      </w:pPr>
      <w:r>
        <w:t xml:space="preserve">Calf Intestinal Phosphatase (NEB M0290S).</w:t>
      </w:r>
    </w:p>
    <w:p>
      <w:pPr>
        <w:pStyle w:val="ListParagraph"/>
        <w:numPr>
          <w:ilvl w:val="0"/>
          <w:numId w:val="2"/>
        </w:numPr>
        <w:spacing w:after="60"/>
      </w:pPr>
      <w:r>
        <w:t xml:space="preserve">Recombinant E. coli AlkB, with α-ketoglutarate, Fe(II) ammonium sulphate, ascorbate (demethylase cofactors).</w:t>
      </w:r>
    </w:p>
    <w:p>
      <w:pPr>
        <w:pStyle w:val="ListParagraph"/>
        <w:numPr>
          <w:ilvl w:val="0"/>
          <w:numId w:val="2"/>
        </w:numPr>
        <w:spacing w:after="60"/>
      </w:pPr>
      <w:r>
        <w:t xml:space="preserve">NEBNext Small RNA Library Prep Set for Illumina (E7330L).</w:t>
      </w:r>
    </w:p>
    <w:p>
      <w:pPr>
        <w:pStyle w:val="ListParagraph"/>
        <w:numPr>
          <w:ilvl w:val="0"/>
          <w:numId w:val="2"/>
        </w:numPr>
        <w:spacing w:after="60"/>
      </w:pPr>
      <w:r>
        <w:t xml:space="preserve">NEBNext Multiplex Oligos (E7500S or E7600S).</w:t>
      </w:r>
    </w:p>
    <w:p>
      <w:pPr>
        <w:pStyle w:val="ListParagraph"/>
        <w:numPr>
          <w:ilvl w:val="0"/>
          <w:numId w:val="2"/>
        </w:numPr>
        <w:spacing w:after="60"/>
      </w:pPr>
      <w:r>
        <w:t xml:space="preserve">AMPure XP beads (Beckman Coulter A63880).</w:t>
      </w:r>
    </w:p>
    <w:p>
      <w:pPr>
        <w:pStyle w:val="ListParagraph"/>
        <w:numPr>
          <w:ilvl w:val="0"/>
          <w:numId w:val="2"/>
        </w:numPr>
        <w:spacing w:after="60"/>
      </w:pPr>
      <w:r>
        <w:t xml:space="preserve">Qubit miRNA Assay Kit for quantification.</w:t>
      </w:r>
    </w:p>
    <w:p>
      <w:pPr>
        <w:pStyle w:val="ListParagraph"/>
        <w:numPr>
          <w:ilvl w:val="0"/>
          <w:numId w:val="2"/>
        </w:numPr>
        <w:spacing w:after="60"/>
      </w:pPr>
      <w:r>
        <w:t xml:space="preserve">Agilent TapeStation high-sensitivity small RNA tapes.</w:t>
      </w:r>
    </w:p>
    <w:p>
      <w:pPr>
        <w:spacing w:after="120"/>
      </w:pPr>
      <w:r>
        <w:t xml:space="preserve"/>
      </w:r>
    </w:p>
    <w:p>
      <w:pPr>
        <w:pStyle w:val="Heading2"/>
      </w:pPr>
      <w:r>
        <w:t xml:space="preserve">4.2 RNA extraction (TRIzol + column hybrid)</w:t>
      </w:r>
    </w:p>
    <w:p>
      <w:pPr>
        <w:pStyle w:val="ListParagraph"/>
        <w:numPr>
          <w:ilvl w:val="0"/>
          <w:numId w:val="3"/>
        </w:numPr>
        <w:spacing w:after="80"/>
      </w:pPr>
      <w:r>
        <w:t xml:space="preserve">Retrieve clean-arm sample (bacterial pellet in TRIzol LS, stored at −80 °C). Thaw on ice briefly, then equilibrate to room temperature 5 min.</w:t>
      </w:r>
    </w:p>
    <w:p>
      <w:pPr>
        <w:pStyle w:val="ListParagraph"/>
        <w:numPr>
          <w:ilvl w:val="0"/>
          <w:numId w:val="3"/>
        </w:numPr>
        <w:spacing w:after="80"/>
      </w:pPr>
      <w:r>
        <w:t xml:space="preserve">Add 200 μL chloroform per 1 mL TRIzol. Shake vigorously 15 s. Incubate room temp 3 min. Centrifuge 12 000 × g, 15 min, 4 °C.</w:t>
      </w:r>
    </w:p>
    <w:p>
      <w:pPr>
        <w:pStyle w:val="ListParagraph"/>
        <w:numPr>
          <w:ilvl w:val="0"/>
          <w:numId w:val="3"/>
        </w:numPr>
        <w:spacing w:after="80"/>
      </w:pPr>
      <w:r>
        <w:t xml:space="preserve">Transfer the upper aqueous phase (approximately 500 μL) to a new tube. Add 1.5 volumes of 100 % ethanol and mix by pipetting.</w:t>
      </w:r>
    </w:p>
    <w:p>
      <w:pPr>
        <w:pStyle w:val="ListParagraph"/>
        <w:numPr>
          <w:ilvl w:val="0"/>
          <w:numId w:val="3"/>
        </w:numPr>
        <w:spacing w:after="80"/>
      </w:pPr>
      <w:r>
        <w:t xml:space="preserve">Apply to miRNeasy column following the manufacturer's small-RNA-retaining protocol (the extended wash and elution sequence that does NOT enrich against small RNA).</w:t>
      </w:r>
    </w:p>
    <w:p>
      <w:pPr>
        <w:pStyle w:val="ListParagraph"/>
        <w:numPr>
          <w:ilvl w:val="0"/>
          <w:numId w:val="3"/>
        </w:numPr>
        <w:spacing w:after="80"/>
      </w:pPr>
      <w:r>
        <w:t xml:space="preserve">Elute in 30 μL RNase-free water. Measure A260, A260/280 ratio (target &gt; 1.9), and A260/230 (target &gt; 1.8).</w:t>
      </w:r>
    </w:p>
    <w:p>
      <w:pPr>
        <w:pStyle w:val="ListParagraph"/>
        <w:numPr>
          <w:ilvl w:val="0"/>
          <w:numId w:val="3"/>
        </w:numPr>
        <w:spacing w:after="80"/>
      </w:pPr>
      <w:r>
        <w:t xml:space="preserve">Optional: TapeStation high-sensitivity RNA tape to confirm integrity. RIN is not meaningful for small RNA, but the small RNA region (15–200 nt) should show a clean population.</w:t>
      </w:r>
    </w:p>
    <w:p>
      <w:pPr>
        <w:spacing w:after="120"/>
      </w:pPr>
      <w:r>
        <w:t xml:space="preserve"/>
      </w:r>
    </w:p>
    <w:p>
      <w:pPr>
        <w:pStyle w:val="Heading2"/>
      </w:pPr>
      <w:r>
        <w:t xml:space="preserve">4.3 End repair: CIP + T4 PNK</w:t>
      </w:r>
    </w:p>
    <w:p>
      <w:pPr>
        <w:spacing w:after="100"/>
      </w:pPr>
      <w:r>
        <w:t xml:space="preserve">This step removes 2′,3′-cyclic phosphate from tRF 3′ ends and adds 5′ phosphate where needed, making them ligatable.</w:t>
      </w:r>
    </w:p>
    <w:p>
      <w:pPr>
        <w:pStyle w:val="ListParagraph"/>
        <w:numPr>
          <w:ilvl w:val="0"/>
          <w:numId w:val="3"/>
        </w:numPr>
        <w:spacing w:after="80"/>
      </w:pPr>
      <w:r>
        <w:t xml:space="preserve">Assemble the reaction on ice in a 30 μL volume:</w:t>
      </w:r>
    </w:p>
    <w:p>
      <w:pPr>
        <w:pStyle w:val="ListParagraph"/>
        <w:numPr>
          <w:ilvl w:val="0"/>
          <w:numId w:val="4"/>
        </w:numPr>
        <w:spacing w:after="60"/>
      </w:pPr>
      <w:r>
        <w:t xml:space="preserve">a) 500 ng total RNA.</w:t>
      </w:r>
    </w:p>
    <w:p>
      <w:pPr>
        <w:pStyle w:val="ListParagraph"/>
        <w:numPr>
          <w:ilvl w:val="0"/>
          <w:numId w:val="4"/>
        </w:numPr>
        <w:spacing w:after="60"/>
      </w:pPr>
      <w:r>
        <w:t xml:space="preserve">b) 3 μL 10× T4 PNK buffer without ATP.</w:t>
      </w:r>
    </w:p>
    <w:p>
      <w:pPr>
        <w:pStyle w:val="ListParagraph"/>
        <w:numPr>
          <w:ilvl w:val="0"/>
          <w:numId w:val="4"/>
        </w:numPr>
        <w:spacing w:after="60"/>
      </w:pPr>
      <w:r>
        <w:t xml:space="preserve">c) 1 μL CIP (10 U).</w:t>
      </w:r>
    </w:p>
    <w:p>
      <w:pPr>
        <w:pStyle w:val="ListParagraph"/>
        <w:numPr>
          <w:ilvl w:val="0"/>
          <w:numId w:val="4"/>
        </w:numPr>
        <w:spacing w:after="60"/>
      </w:pPr>
      <w:r>
        <w:t xml:space="preserve">d) 1 μL T4 PNK (10 U).</w:t>
      </w:r>
    </w:p>
    <w:p>
      <w:pPr>
        <w:pStyle w:val="ListParagraph"/>
        <w:numPr>
          <w:ilvl w:val="0"/>
          <w:numId w:val="4"/>
        </w:numPr>
        <w:spacing w:after="60"/>
      </w:pPr>
      <w:r>
        <w:t xml:space="preserve">e) RNase-free water to 30 μL.</w:t>
      </w:r>
    </w:p>
    <w:p>
      <w:pPr>
        <w:pStyle w:val="ListParagraph"/>
        <w:numPr>
          <w:ilvl w:val="0"/>
          <w:numId w:val="3"/>
        </w:numPr>
        <w:spacing w:after="80"/>
      </w:pPr>
      <w:r>
        <w:t xml:space="preserve">Incubate 30 min at 37 °C. This removes both 3′ phosphate and 2′,3′-cyclic phosphate.</w:t>
      </w:r>
    </w:p>
    <w:p>
      <w:pPr>
        <w:pStyle w:val="ListParagraph"/>
        <w:numPr>
          <w:ilvl w:val="0"/>
          <w:numId w:val="3"/>
        </w:numPr>
        <w:spacing w:after="80"/>
      </w:pPr>
      <w:r>
        <w:t xml:space="preserve">Add 2 μL 10 mM ATP and 1 μL additional T4 PNK. Incubate 30 min at 37 °C. This adds 5′ phosphate to any 5′-OH termini.</w:t>
      </w:r>
    </w:p>
    <w:p>
      <w:pPr>
        <w:pStyle w:val="ListParagraph"/>
        <w:numPr>
          <w:ilvl w:val="0"/>
          <w:numId w:val="3"/>
        </w:numPr>
        <w:spacing w:after="80"/>
      </w:pPr>
      <w:r>
        <w:t xml:space="preserve">Clean up with AMPure XP at 1.8× volume ratio. Elute in 18 μL RNase-free water.</w:t>
      </w:r>
    </w:p>
    <w:p>
      <w:pPr>
        <w:spacing w:after="120"/>
      </w:pPr>
      <w:r>
        <w:t xml:space="preserve"/>
      </w:r>
    </w:p>
    <w:p>
      <w:pPr>
        <w:pStyle w:val="Heading2"/>
      </w:pPr>
      <w:r>
        <w:t xml:space="preserve">4.4 AlkB demethylation</w:t>
      </w:r>
    </w:p>
    <w:p>
      <w:pPr>
        <w:spacing w:after="100"/>
      </w:pPr>
      <w:r>
        <w:t xml:space="preserve">Removes m1A, m3C, m1G, m22G on tRNA-derived fragments, rescuing them from reverse transcriptase stalling.</w:t>
      </w:r>
    </w:p>
    <w:p>
      <w:pPr>
        <w:pStyle w:val="ListParagraph"/>
        <w:numPr>
          <w:ilvl w:val="0"/>
          <w:numId w:val="3"/>
        </w:numPr>
        <w:spacing w:after="80"/>
      </w:pPr>
      <w:r>
        <w:t xml:space="preserve">Assemble on ice in a 50 μL volume: end-repaired RNA (16 μL), 5 μL 10× AlkB buffer (50 mM HEPES pH 8.0, 500 mM NaCl, 20 mM MgCl2), 1 μL 100 mM α-ketoglutarate, 1 μL 10 mM Fe(II) ammonium sulphate (freshly prepared), 1 μL 100 mM ascorbate, 2 μL AlkB (1 μg), water to 50 μL.</w:t>
      </w:r>
    </w:p>
    <w:p>
      <w:pPr>
        <w:pStyle w:val="ListParagraph"/>
        <w:numPr>
          <w:ilvl w:val="0"/>
          <w:numId w:val="3"/>
        </w:numPr>
        <w:spacing w:after="80"/>
      </w:pPr>
      <w:r>
        <w:t xml:space="preserve">Incubate 1 h at 37 °C.</w:t>
      </w:r>
    </w:p>
    <w:p>
      <w:pPr>
        <w:pStyle w:val="ListParagraph"/>
        <w:numPr>
          <w:ilvl w:val="0"/>
          <w:numId w:val="3"/>
        </w:numPr>
        <w:spacing w:after="80"/>
      </w:pPr>
      <w:r>
        <w:t xml:space="preserve">Add 5 μL 100 mM EDTA to quench. Clean up with AMPure XP 1.8×. Elute in 15 μL.</w:t>
      </w:r>
    </w:p>
    <w:p>
      <w:pPr>
        <w:spacing w:after="120"/>
      </w:pPr>
      <w:r>
        <w:t xml:space="preserve"/>
      </w:r>
    </w:p>
    <w:p>
      <w:pPr>
        <w:pStyle w:val="Heading2"/>
      </w:pPr>
      <w:r>
        <w:t xml:space="preserve">4.5 Library construction (NEBNext Small RNA)</w:t>
      </w:r>
    </w:p>
    <w:p>
      <w:pPr>
        <w:pStyle w:val="ListParagraph"/>
        <w:numPr>
          <w:ilvl w:val="0"/>
          <w:numId w:val="3"/>
        </w:numPr>
        <w:spacing w:after="80"/>
      </w:pPr>
      <w:r>
        <w:t xml:space="preserve">Proceed with the NEBNext Small RNA Library Prep Set for Illumina following the manufacturer's bacterial small RNA workflow, with two modifications:</w:t>
      </w:r>
    </w:p>
    <w:p>
      <w:pPr>
        <w:pStyle w:val="ListParagraph"/>
        <w:numPr>
          <w:ilvl w:val="0"/>
          <w:numId w:val="4"/>
        </w:numPr>
        <w:spacing w:after="60"/>
      </w:pPr>
      <w:r>
        <w:t xml:space="preserve">a) Use 1:2 diluted 3′ SR adapter (reduces adapter-dimer formation at low input).</w:t>
      </w:r>
    </w:p>
    <w:p>
      <w:pPr>
        <w:pStyle w:val="ListParagraph"/>
        <w:numPr>
          <w:ilvl w:val="0"/>
          <w:numId w:val="4"/>
        </w:numPr>
        <w:spacing w:after="60"/>
      </w:pPr>
      <w:r>
        <w:t xml:space="preserve">b) Use 15 PCR cycles for typical bacterial small RNA input (may require optimisation per strain/condition).</w:t>
      </w:r>
    </w:p>
    <w:p>
      <w:pPr>
        <w:pStyle w:val="ListParagraph"/>
        <w:numPr>
          <w:ilvl w:val="0"/>
          <w:numId w:val="3"/>
        </w:numPr>
        <w:spacing w:after="80"/>
      </w:pPr>
      <w:r>
        <w:t xml:space="preserve">Size-select the 140–180 bp region on a 6 % native PAGE gel or use AMPure XP 1.3× + 1.8× double-sided selection to remove adapter dimers while retaining tRF-containing libraries.</w:t>
      </w:r>
    </w:p>
    <w:p>
      <w:pPr>
        <w:pStyle w:val="ListParagraph"/>
        <w:numPr>
          <w:ilvl w:val="0"/>
          <w:numId w:val="3"/>
        </w:numPr>
        <w:spacing w:after="80"/>
      </w:pPr>
      <w:r>
        <w:t xml:space="preserve">Quantify with Qubit DNA HS and verify size distribution on TapeStation HS D1000.</w:t>
      </w:r>
    </w:p>
    <w:p>
      <w:pPr>
        <w:spacing w:after="120"/>
      </w:pPr>
      <w:r>
        <w:t xml:space="preserve"/>
      </w:r>
    </w:p>
    <w:p>
      <w:pPr>
        <w:pStyle w:val="Heading2"/>
      </w:pPr>
      <w:r>
        <w:t xml:space="preserve">4.6 Quality acceptance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44"/>
        <w:gridCol w:w="5616"/>
      </w:tblGrid>
      <w:tr>
        <w:trPr>
          <w:tblHeader/>
        </w:trPr>
        <w:tc>
          <w:tcPr>
            <w:tcW w:type="dxa" w:w="374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QC metric</w:t>
            </w:r>
          </w:p>
        </w:tc>
        <w:tc>
          <w:tcPr>
            <w:tcW w:type="dxa" w:w="561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Acceptance criterion</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Total RNA yield per sample</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500 ng</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A260/280 ratio</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1.9</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A260/230 ratio</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1.8</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Library concentration</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2 ng/μL</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Library average size</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140–180 bp (main peak), no dimer peak &gt; 10 % of total area</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Adapter dimer fraction</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5 % of total library</w:t>
            </w:r>
          </w:p>
        </w:tc>
      </w:tr>
    </w:tbl>
    <w:p>
      <w:pPr>
        <w:spacing w:after="120"/>
      </w:pPr>
      <w:r>
        <w:t xml:space="preserve"/>
      </w:r>
    </w:p>
    <w:p>
      <w:pPr>
        <w:pStyle w:val="Heading2"/>
      </w:pPr>
      <w:r>
        <w:t xml:space="preserve">4.7 Shipping and sequencing</w:t>
      </w:r>
    </w:p>
    <w:p>
      <w:pPr>
        <w:spacing w:after="100"/>
      </w:pPr>
      <w:r>
        <w:t xml:space="preserve">Libraries are pooled equimolarly, labelled with descriptive metadata (strain × condition × replicate × time-point), and shipped on dry ice to the Nord Universitet sequencing facility (Jørgensen/Johansen) for 50 bp single-end sequencing at a target depth of 10 M reads per sample. Metadata sheet includes: sample ID, concentration, library prep date, AlkB batch, index used, expected biological content.</w:t>
      </w:r>
    </w:p>
    <w:p>
      <w:pPr>
        <w:spacing w:after="120"/>
      </w:pPr>
      <w:r>
        <w:t xml:space="preserve"/>
      </w:r>
    </w:p>
    <w:p>
      <w:pPr>
        <w:pStyle w:val="Heading2"/>
      </w:pPr>
      <w:r>
        <w:t xml:space="preserve">4.8 Bioinformatics pipeline (executed locally)</w:t>
      </w:r>
    </w:p>
    <w:p>
      <w:pPr>
        <w:pStyle w:val="ListParagraph"/>
        <w:numPr>
          <w:ilvl w:val="0"/>
          <w:numId w:val="2"/>
        </w:numPr>
        <w:spacing w:after="60"/>
      </w:pPr>
      <w:r>
        <w:t xml:space="preserve">Adapter trimming: cutadapt with -a AGATCGGAAGAGCACACGTCTGAACTCCAGTCA, minimum length 15, maximum 50.</w:t>
      </w:r>
    </w:p>
    <w:p>
      <w:pPr>
        <w:pStyle w:val="ListParagraph"/>
        <w:numPr>
          <w:ilvl w:val="0"/>
          <w:numId w:val="2"/>
        </w:numPr>
        <w:spacing w:after="60"/>
      </w:pPr>
      <w:r>
        <w:t xml:space="preserve">tRF identification: MINTmap or unitas, against the S. aureus GtRNAdb tRNA reference. Annotate 5′-tRFs, 3′-tRFs (including tRF-3b^Asn), and tRNA halves separately.</w:t>
      </w:r>
    </w:p>
    <w:p>
      <w:pPr>
        <w:pStyle w:val="ListParagraph"/>
        <w:numPr>
          <w:ilvl w:val="0"/>
          <w:numId w:val="2"/>
        </w:numPr>
        <w:spacing w:after="60"/>
      </w:pPr>
      <w:r>
        <w:t xml:space="preserve">sRNA annotation: BLASTN against the S. aureus annotated sRNA catalogue (RsaOG family, RNAIII, SprD, SprX, etc.).</w:t>
      </w:r>
    </w:p>
    <w:p>
      <w:pPr>
        <w:pStyle w:val="ListParagraph"/>
        <w:numPr>
          <w:ilvl w:val="0"/>
          <w:numId w:val="2"/>
        </w:numPr>
        <w:spacing w:after="60"/>
      </w:pPr>
      <w:r>
        <w:t xml:space="preserve">Normalisation: DESeq2 with size-factor normalisation across libraries. Differential expression at condition × time point level.</w:t>
      </w:r>
    </w:p>
    <w:p>
      <w:pPr>
        <w:pStyle w:val="ListParagraph"/>
        <w:numPr>
          <w:ilvl w:val="0"/>
          <w:numId w:val="2"/>
        </w:numPr>
        <w:spacing w:after="60"/>
      </w:pPr>
      <w:r>
        <w:t xml:space="preserve">Primary hypothesis-driven analysis: abundance of tRF-3b^Asn (CGAGTCCTACCTGTGGAGC, 19 nt) across conditions. Stringent-response signature (6S RNA, rsaOG, ribosomal sRNA) across conditions.</w:t>
      </w:r>
    </w:p>
    <w:p>
      <w:r>
        <w:br w:type="page"/>
      </w:r>
    </w:p>
    <w:p>
      <w:pPr>
        <w:pStyle w:val="Heading1"/>
      </w:pPr>
      <w:r>
        <w:t xml:space="preserve">SOP 5 — QC and data capture</w:t>
      </w:r>
    </w:p>
    <w:p>
      <w:pPr>
        <w:spacing w:after="100"/>
      </w:pPr>
      <w:r>
        <w:rPr>
          <w:b/>
          <w:bCs/>
        </w:rPr>
        <w:t xml:space="preserve">Purpose: standardise per-run acceptance criteria and sample metadata so the three assay arms remain cross-comparable and the data land cleanly in the FAIR-compliant HOST-DIALOG repository.</w:t>
      </w:r>
    </w:p>
    <w:p>
      <w:pPr>
        <w:spacing w:after="120"/>
      </w:pPr>
      <w:r>
        <w:t xml:space="preserve"/>
      </w:r>
    </w:p>
    <w:p>
      <w:pPr>
        <w:pStyle w:val="Heading2"/>
      </w:pPr>
      <w:r>
        <w:t xml:space="preserve">5.1 Per-run acceptance criteria</w:t>
      </w:r>
    </w:p>
    <w:p>
      <w:pPr>
        <w:spacing w:after="100"/>
      </w:pPr>
      <w:r>
        <w:t xml:space="preserve">A run is accepted only if all of the following hold. If any criterion fails, the full run is repeated. Partial acceptance is not permitted, because cross-arm integration depends on all three readouts from a single master culture.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6552"/>
      </w:tblGrid>
      <w:tr>
        <w:trPr>
          <w:tblHeader/>
        </w:trPr>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Criterion</w:t>
            </w:r>
          </w:p>
        </w:tc>
        <w:tc>
          <w:tcPr>
            <w:tcW w:type="dxa" w:w="655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Threshold</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Master culture OD at split</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0.48–0.52</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Timing deviation from protocol</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2 min per time point</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Vehicle triplicate CV, hot arm</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15 %</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Chloramphenicol-condition reduction, hot arm</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70 % all tracers</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RNA A260/280 (small RNA arm)</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&gt; 1.9</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Aminoacyl preservation (acid-urea lane visible)</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Yes — visible fully-charged band in vehicle lane</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Deacylation control band</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Single band at uncharged position</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Library dimer fraction</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 5 %</w:t>
            </w:r>
          </w:p>
        </w:tc>
      </w:tr>
    </w:tbl>
    <w:p>
      <w:pPr>
        <w:spacing w:after="120"/>
      </w:pPr>
      <w:r>
        <w:t xml:space="preserve"/>
      </w:r>
    </w:p>
    <w:p>
      <w:pPr>
        <w:pStyle w:val="Heading2"/>
      </w:pPr>
      <w:r>
        <w:t xml:space="preserve">5.2 Sample metadata (every sample, every arm)</w:t>
      </w:r>
    </w:p>
    <w:p>
      <w:pPr>
        <w:pStyle w:val="ListParagraph"/>
        <w:numPr>
          <w:ilvl w:val="0"/>
          <w:numId w:val="2"/>
        </w:numPr>
        <w:spacing w:after="60"/>
      </w:pPr>
      <w:r>
        <w:t xml:space="preserve">Sample ID: YYYYMMDD-STRAIN-CONDITION-ARM-TIME-REPLICATE (e.g. 20260512-JE2-ESYLWS2xMIC-HOT-T45-R2).</w:t>
      </w:r>
    </w:p>
    <w:p>
      <w:pPr>
        <w:pStyle w:val="ListParagraph"/>
        <w:numPr>
          <w:ilvl w:val="0"/>
          <w:numId w:val="2"/>
        </w:numPr>
        <w:spacing w:after="60"/>
      </w:pPr>
      <w:r>
        <w:t xml:space="preserve">Master culture OD at split, per experiment.</w:t>
      </w:r>
    </w:p>
    <w:p>
      <w:pPr>
        <w:pStyle w:val="ListParagraph"/>
        <w:numPr>
          <w:ilvl w:val="0"/>
          <w:numId w:val="2"/>
        </w:numPr>
        <w:spacing w:after="60"/>
      </w:pPr>
      <w:r>
        <w:t xml:space="preserve">Drug lot and working dilution concentration.</w:t>
      </w:r>
    </w:p>
    <w:p>
      <w:pPr>
        <w:pStyle w:val="ListParagraph"/>
        <w:numPr>
          <w:ilvl w:val="0"/>
          <w:numId w:val="2"/>
        </w:numPr>
        <w:spacing w:after="60"/>
      </w:pPr>
      <w:r>
        <w:t xml:space="preserve">Operator initials.</w:t>
      </w:r>
    </w:p>
    <w:p>
      <w:pPr>
        <w:pStyle w:val="ListParagraph"/>
        <w:numPr>
          <w:ilvl w:val="0"/>
          <w:numId w:val="2"/>
        </w:numPr>
        <w:spacing w:after="60"/>
      </w:pPr>
      <w:r>
        <w:t xml:space="preserve">Any deviation from protocol (free-text).</w:t>
      </w:r>
    </w:p>
    <w:p>
      <w:pPr>
        <w:pStyle w:val="ListParagraph"/>
        <w:numPr>
          <w:ilvl w:val="0"/>
          <w:numId w:val="2"/>
        </w:numPr>
        <w:spacing w:after="60"/>
      </w:pPr>
      <w:r>
        <w:t xml:space="preserve">For hot arm: tracer catalogue, lot, specific activity, cold-chain time; pulse start/end; scintillation vial IDs.</w:t>
      </w:r>
    </w:p>
    <w:p>
      <w:pPr>
        <w:pStyle w:val="ListParagraph"/>
        <w:numPr>
          <w:ilvl w:val="0"/>
          <w:numId w:val="2"/>
        </w:numPr>
        <w:spacing w:after="60"/>
      </w:pPr>
      <w:r>
        <w:t xml:space="preserve">For clean arm: quench time, freezer location.</w:t>
      </w:r>
    </w:p>
    <w:p>
      <w:pPr>
        <w:pStyle w:val="ListParagraph"/>
        <w:numPr>
          <w:ilvl w:val="0"/>
          <w:numId w:val="2"/>
        </w:numPr>
        <w:spacing w:after="60"/>
      </w:pPr>
      <w:r>
        <w:t xml:space="preserve">For acid-urea arm: gel date, probe lot, exposure time, phosphorimager file path.</w:t>
      </w:r>
    </w:p>
    <w:p>
      <w:pPr>
        <w:pStyle w:val="ListParagraph"/>
        <w:numPr>
          <w:ilvl w:val="0"/>
          <w:numId w:val="2"/>
        </w:numPr>
        <w:spacing w:after="60"/>
      </w:pPr>
      <w:r>
        <w:t xml:space="preserve">For small RNA arm: extraction date, AlkB batch, library kit lot, index assigned, pool name.</w:t>
      </w:r>
    </w:p>
    <w:p>
      <w:pPr>
        <w:spacing w:after="120"/>
      </w:pPr>
      <w:r>
        <w:t xml:space="preserve"/>
      </w:r>
    </w:p>
    <w:p>
      <w:pPr>
        <w:pStyle w:val="Heading2"/>
      </w:pPr>
      <w:r>
        <w:t xml:space="preserve">5.3 Primary storage locations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76"/>
        <w:gridCol w:w="6084"/>
      </w:tblGrid>
      <w:tr>
        <w:trPr>
          <w:tblHeader/>
        </w:trPr>
        <w:tc>
          <w:tcPr>
            <w:tcW w:type="dxa" w:w="327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Data type</w:t>
            </w:r>
          </w:p>
        </w:tc>
        <w:tc>
          <w:tcPr>
            <w:tcW w:type="dxa" w:w="608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Location</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Raw DPM counts (.csv)</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Shared project drive: /host-dialog/hot-arm/YYYYMMDD/</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Acid-urea phosphorimager files (.gel)</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Shared project drive: /host-dialog/acid-urea/YYYYMMDD/</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Raw FASTQ (small RNA)</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Nord Universitet SFTP dropzone; mirrored to /host-dialog/srna/YYYYMMDD/raw/</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Processed count tables</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/host-dialog/srna/YYYYMMDD/counts/</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Master experiment log (Excel or Notion)</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/host-dialog/logs/master_log.xlsx</w:t>
            </w:r>
          </w:p>
        </w:tc>
      </w:tr>
      <w:tr>
        <w:tc>
          <w:tcPr>
            <w:tcW w:type="dxa" w:w="327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Physical samples (frozen)</w:t>
            </w:r>
          </w:p>
        </w:tc>
        <w:tc>
          <w:tcPr>
            <w:tcW w:type="dxa" w:w="608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–80 °C freezer, drawer HOST-DIALOG-1, labelled by date and sample ID</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On freezer discipline</w:t>
            </w:r>
          </w:p>
          <w:p>
            <w:r>
              <w:t xml:space="preserve">Dedicated drawer, clear labelling, master log updated on deposit. Lost samples are lost experiments. This has happened before and it will happen again unless the discipline is kept. Each sample aliquot enters the log at the moment it enters the freezer, not later.</w:t>
            </w:r>
          </w:p>
        </w:tc>
      </w:tr>
    </w:tbl>
    <w:p>
      <w:r>
        <w:br w:type="page"/>
      </w:r>
    </w:p>
    <w:p>
      <w:pPr>
        <w:pStyle w:val="Heading1"/>
      </w:pPr>
      <w:r>
        <w:t xml:space="preserve">Appendix A — Experiment timeline (one v1 run)</w:t>
      </w:r>
    </w:p>
    <w:p>
      <w:pPr>
        <w:spacing w:after="100"/>
      </w:pPr>
      <w:r>
        <w:t xml:space="preserve">Standard timeline for a single v1 run with 4 conditions (vehicle, ESYLWS 0.5× MIC, ESYLWS MIC, chloramphenicol MIC), 4 tracers in the hot arm, 6 time points in the clean arm, triplicates throughout. Approximately 48 clean-arm tubes and 48 hot-arm tubes per run.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2340"/>
        <w:gridCol w:w="5616"/>
      </w:tblGrid>
      <w:tr>
        <w:trPr>
          <w:tblHeader/>
        </w:trPr>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Day</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Time</w:t>
            </w:r>
          </w:p>
        </w:tc>
        <w:tc>
          <w:tcPr>
            <w:tcW w:type="dxa" w:w="561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Activity</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CDM preparation; pH check; filter-sterilise additions; aliquot and refrigerate</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Streak JE2 from −80 glycerol onto fresh CDM agar; incubate at 37 °C overnight</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Late PM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Seed 5 mL CDM preculture from a single colony, 37 °C 200 rpm overnight</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07:30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Check preculture OD600; prepare tracer working dilutions; label all tubes and flasks; warm CDM and flasks to 37 °C</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08:00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Dilute preculture to OD600 = 0.05 in 100 mL master culture; start timer</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~09:30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OD600 reaches 0.5; split master into daughter flasks; apply drugs; start main timer T = 0</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09:30–11:30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Execute time-point sampling (clean arm at T0/15/30/45/60/120) and hot-arm pulse (T30 add tracer; T45 quench + TCA)</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11:30–14:00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Complete TCA precipitation, hot-TCA wash, filter drying, vial counting</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13:00–18:00</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Acid-fixation RNA extractions (clean arm samples for acid-urea northern)</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Acid-urea gel casting, loading, running (4–6 h + overnight exposure)</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TRIzol extraction of small RNA samples; run TapeStation QC</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Phosphorimager scan for acid-urea northern; ImageJ quantification</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PM</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End-repair + AlkB for small RNA libraries; NEBNext prep starts</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+3–4</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Complete library prep; size selection; QC; pool; ship on dry ice to Nord Universitet</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 to +14</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561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Sequencing data returned; bioinformatics pipeline; integration with hot-arm and acid-urea results; run acceptance review</w:t>
            </w:r>
          </w:p>
        </w:tc>
      </w:tr>
    </w:tbl>
    <w:p>
      <w:r>
        <w:br w:type="page"/>
      </w:r>
    </w:p>
    <w:p>
      <w:pPr>
        <w:pStyle w:val="Heading1"/>
      </w:pPr>
      <w:r>
        <w:t xml:space="preserve">Appendix B — Reagent ordering checklist (pilot phase)</w:t>
      </w:r>
    </w:p>
    <w:p>
      <w:pPr>
        <w:spacing w:after="100"/>
      </w:pPr>
      <w:r>
        <w:t xml:space="preserve">Verify local availability before ordering; substitute equivalent products with equivalent specifications. All ³H and ¹⁴C reagents require active radiation authorisation on the named researcher; confirm this with the radiation safety officer before placing orders.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
        <w:gridCol w:w="4680"/>
        <w:gridCol w:w="2340"/>
        <w:gridCol w:w="936"/>
        <w:gridCol w:w="936"/>
      </w:tblGrid>
      <w:tr>
        <w:trPr>
          <w:tblHeader/>
        </w:trPr>
        <w:tc>
          <w:tcPr>
            <w:tcW w:type="dxa" w:w="46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w:t>
            </w:r>
          </w:p>
        </w:tc>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Item</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Supplier / cat.</w:t>
            </w:r>
          </w:p>
        </w:tc>
        <w:tc>
          <w:tcPr>
            <w:tcW w:type="dxa" w:w="93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Quantity</w:t>
            </w:r>
          </w:p>
        </w:tc>
        <w:tc>
          <w:tcPr>
            <w:tcW w:type="dxa" w:w="936"/>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Status</w:t>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L-[2,3,3-³H]-Asparagine, 20–40 Ci/mmol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NET581005MC</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250 μCi</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L-[2,3-³H]-Aspartic acid, 20–40 Ci/mmol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NET142H001MC</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250 μCi</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L-[4,5-³H]-Leucine, 100–150 Ci/mmol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NET460005MC</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250 μCi</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L-[2-³H]-Glycine, 40–60 Ci/mmol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NET004005MC</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250 μCi</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Ultima Gold scintillation cocktail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6013321</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 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GF/C glass fibre filters, 25 mm, box of 100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Whatman 1822-025</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box</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Scintillation vials, 20 mL HDPE, 500</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6000302</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pack</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TRIzol LS</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Thermo 10296028</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200 mL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miRNeasy Mini Kit (50 preps)</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Qiagen 217004</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kit</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T4 Polynucleotide Kinase (500 U)</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 M0201S</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tube</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Calf Intestinal Phosphatase (1 000 U)</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 M0290S</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tube</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Recombinant E. coli AlkB</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Arraystar / in-house batch</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50 μg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NEBNext Small RNA Library Prep Set</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 E7330L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kit (24 rxn)</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NEBNext Multiplex Oligos, Index Primers Set 1</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NEB E7335S</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kit</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AMPure XP beads, 60 mL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Beckman A63881</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bottle</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Acid phenol:chloroform pH 4.5</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Thermo AM9722</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125 mL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Hybond-N+ positively charged nylon membrane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Amersham RPN203B</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roll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DIG Easy Hyb hybridisation buffer</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Roche 11603558001</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500 mL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γ-[³²P]-ATP, 10 mCi/mL (or biotin-probe kit)</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PerkinElmer BLU002Z</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250 μCi</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Urea, ultrapure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Thermo 15505027</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500 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Acrylamide/bis 19:1, 40 % solution</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Bio-Rad 161-0144</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500 mL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Sodium acetate, RNase-free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Thermo AM9740</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500 mL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Chloramphenicol, analytical grade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 C0378</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25 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Mutanolysin from Streptomyces globisporus</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 M9901</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vial</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L-Asparagine·H₂O (CDM grade)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 A0884</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L-Aspartic acid (CDM grade)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 A9256</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46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w:t>
            </w:r>
          </w:p>
        </w:tc>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L-Glutamine (CDM grade)</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Sigma G3126</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936"/>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bl>
    <w:p>
      <w:r>
        <w:br w:type="page"/>
      </w:r>
    </w:p>
    <w:p>
      <w:pPr>
        <w:pStyle w:val="Heading1"/>
      </w:pPr>
      <w:r>
        <w:t xml:space="preserve">Appendix C — Data recording templates</w:t>
      </w:r>
    </w:p>
    <w:p>
      <w:pPr>
        <w:spacing w:after="100"/>
      </w:pPr>
      <w:r>
        <w:t xml:space="preserve">Print one of each page for every run. File completed sheets in the project binder on the day of the experiment. Also transcribe into the shared electronic master log within 24 h.</w:t>
      </w:r>
    </w:p>
    <w:p>
      <w:pPr>
        <w:spacing w:after="120"/>
      </w:pPr>
      <w:r>
        <w:t xml:space="preserve"/>
      </w:r>
    </w:p>
    <w:p>
      <w:pPr>
        <w:pStyle w:val="Heading2"/>
      </w:pPr>
      <w:r>
        <w:t xml:space="preserve">C.1 Run header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6552"/>
      </w:tblGrid>
      <w:tr>
        <w:trPr>
          <w:tblHeader/>
        </w:trPr>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Field</w:t>
            </w:r>
          </w:p>
        </w:tc>
        <w:tc>
          <w:tcPr>
            <w:tcW w:type="dxa" w:w="655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Value</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Run ID (YYYYMMDD-N)</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Strain</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Operator(s)</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Conditions tested</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Tracers used</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Master culture OD at split</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Actual split time (HH:MM:SS)</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Deviations from protocol</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Run accepted?  Y / N</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If no, reason</w:t>
            </w:r>
          </w:p>
        </w:tc>
        <w:tc>
          <w:tcPr>
            <w:tcW w:type="dxa" w:w="655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bl>
    <w:p>
      <w:pPr>
        <w:spacing w:after="120"/>
      </w:pPr>
      <w:r>
        <w:t xml:space="preserve"/>
      </w:r>
    </w:p>
    <w:p>
      <w:pPr>
        <w:pStyle w:val="Heading2"/>
      </w:pPr>
      <w:r>
        <w:t xml:space="preserve">C.2 Hot-arm recording (per tracer × condition)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1404"/>
        <w:gridCol w:w="1404"/>
        <w:gridCol w:w="1404"/>
        <w:gridCol w:w="1404"/>
        <w:gridCol w:w="2340"/>
      </w:tblGrid>
      <w:tr>
        <w:trPr>
          <w:tblHeader/>
        </w:trPr>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Tracer</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Condition</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Replicate</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Pulse start</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Pulse end</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DPM (vial ID)</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bl>
    <w:p>
      <w:pPr>
        <w:spacing w:after="120"/>
      </w:pPr>
      <w:r>
        <w:t xml:space="preserve"/>
      </w:r>
    </w:p>
    <w:p>
      <w:pPr>
        <w:pStyle w:val="Heading2"/>
      </w:pPr>
      <w:r>
        <w:t xml:space="preserve">C.3 Clean-arm recording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1404"/>
        <w:gridCol w:w="1404"/>
        <w:gridCol w:w="1872"/>
        <w:gridCol w:w="1872"/>
        <w:gridCol w:w="1404"/>
      </w:tblGrid>
      <w:tr>
        <w:trPr>
          <w:tblHeader/>
        </w:trPr>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Time point</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Condition</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Replicate</w:t>
            </w:r>
          </w:p>
        </w:tc>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Actual sample time</w:t>
            </w:r>
          </w:p>
        </w:tc>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Arm (AU / sRNA)</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Freezer location</w:t>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r>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Document control</w:t>
            </w:r>
          </w:p>
          <w:p>
            <w:r>
              <w:t xml:space="preserve">This SOP suite is version 1.1 dated April 2026. Any change to procedure must be proposed as a tracked amendment, reviewed by the PI and radiation/biosafety officers, and the version number incremented. Previous versions are archived on the project drive. Do not run the experiment under an unapproved amended procedure.</w:t>
            </w:r>
          </w:p>
        </w:tc>
      </w:tr>
    </w:tbl>
    <w:p>
      <w:r>
        <w:br w:type="page"/>
      </w:r>
    </w:p>
    <w:p>
      <w:pPr>
        <w:pStyle w:val="Heading1"/>
      </w:pPr>
      <w:r>
        <w:t xml:space="preserve">Appendix D — Chemically defined medium (CDM) formulation</w:t>
      </w:r>
    </w:p>
    <w:p>
      <w:pPr>
        <w:spacing w:after="100"/>
      </w:pPr>
      <w:r>
        <w:t xml:space="preserve">CDM formulation derived from Hussain et al. (1991) with modifications by Onoue &amp; Mori (1997) and Pohl et al. (2009) for S. aureus. Several published derivatives exist; this is the formulation locked in for HOST-DIALOG v1 to ensure reproducibility across the team. Any variation requires PI sign-off and version increment.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Why this matters for the assay</w:t>
            </w:r>
          </w:p>
          <w:p>
            <w:r>
              <w:t xml:space="preserve">Asn, Asp, and Gln baseline concentrations directly affect the indirect transamidation pathway flux. Rich media (TSB, MHB) contain undefined and variable amounts of these amino acids and are unsuitable for the integrated readout. CDM gives a controlled starting state where the GatCAB block has an interpretable concentration ladder beneath it.</w:t>
            </w:r>
          </w:p>
        </w:tc>
      </w:tr>
    </w:tbl>
    <w:p>
      <w:pPr>
        <w:spacing w:after="120"/>
      </w:pPr>
      <w:r>
        <w:t xml:space="preserve"/>
      </w:r>
    </w:p>
    <w:p>
      <w:pPr>
        <w:pStyle w:val="Heading2"/>
      </w:pPr>
      <w:r>
        <w:t xml:space="preserve">D.1 Stock solutions (prepare in advance, store as indicated)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872"/>
        <w:gridCol w:w="1404"/>
        <w:gridCol w:w="1404"/>
      </w:tblGrid>
      <w:tr>
        <w:trPr>
          <w:tblHeader/>
        </w:trPr>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Stock</w:t>
            </w:r>
          </w:p>
        </w:tc>
        <w:tc>
          <w:tcPr>
            <w:tcW w:type="dxa" w:w="1872"/>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Concentration</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Storage</w:t>
            </w:r>
          </w:p>
        </w:tc>
        <w:tc>
          <w:tcPr>
            <w:tcW w:type="dxa" w:w="140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Stability</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Salts solution (10×)</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 working</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4 °C</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3 months</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Glucose stock</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20 % w/v</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4 °C</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month</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Amino acid mix A (acidic + neutral)</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working</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−20 °C</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6 months</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Amino acid mix B (basic + sulfur)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working</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−20 °C</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6 months</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Vitamin mix</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1000× working</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−20 °C, light-protected</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6 months</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Trace elements</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1000× working</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4 °C</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6 months</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MOPS buffer</w:t>
            </w:r>
          </w:p>
        </w:tc>
        <w:tc>
          <w:tcPr>
            <w:tcW w:type="dxa" w:w="1872"/>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 M, pH 7.2</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Room temperature</w:t>
            </w:r>
          </w:p>
        </w:tc>
        <w:tc>
          <w:tcPr>
            <w:tcW w:type="dxa" w:w="140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6 months</w:t>
            </w:r>
          </w:p>
        </w:tc>
      </w:tr>
    </w:tbl>
    <w:p>
      <w:pPr>
        <w:spacing w:after="120"/>
      </w:pPr>
      <w:r>
        <w:t xml:space="preserve"/>
      </w:r>
    </w:p>
    <w:p>
      <w:pPr>
        <w:pStyle w:val="Heading2"/>
      </w:pPr>
      <w:r>
        <w:t xml:space="preserve">D.2 Salts solution (10×)</w:t>
      </w:r>
    </w:p>
    <w:p>
      <w:pPr>
        <w:spacing w:after="100"/>
      </w:pPr>
      <w:r>
        <w:t xml:space="preserve">Per 1 L of 10× stock, dissolve in MilliQ water in the order given: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Component</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Mass per L 10× stock</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Final 1× concentration</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K₂HPO₄</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70.0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40 mM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KH₂PO₄</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30.0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22 mM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NaCl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17 mM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(NH₄)₂SO₄</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7.6 mM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MgSO₄·7H₂O</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0.4 mM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CaCl₂·2H₂O</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0.1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0.07 mM</w:t>
            </w:r>
          </w:p>
        </w:tc>
      </w:tr>
    </w:tbl>
    <w:p>
      <w:pPr>
        <w:spacing w:after="100"/>
      </w:pPr>
      <w:r>
        <w:t xml:space="preserve">Filter-sterilise through 0.22 μm. Store at 4 °C.</w:t>
      </w:r>
    </w:p>
    <w:p>
      <w:pPr>
        <w:spacing w:after="120"/>
      </w:pPr>
      <w:r>
        <w:t xml:space="preserve"/>
      </w:r>
    </w:p>
    <w:p>
      <w:pPr>
        <w:pStyle w:val="Heading2"/>
      </w:pPr>
      <w:r>
        <w:t xml:space="preserve">D.3 Amino acid mix A — neutral and acidic (100×)</w:t>
      </w:r>
    </w:p>
    <w:p>
      <w:pPr>
        <w:spacing w:after="100"/>
      </w:pPr>
      <w:r>
        <w:t xml:space="preserve">Per 100 mL of 100× stock, dissolved in MilliQ + a few drops of 1 M HCl as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44"/>
        <w:gridCol w:w="2808"/>
        <w:gridCol w:w="2808"/>
      </w:tblGrid>
      <w:tr>
        <w:trPr>
          <w:tblHeader/>
        </w:trPr>
        <w:tc>
          <w:tcPr>
            <w:tcW w:type="dxa" w:w="374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Amino acid</w:t>
            </w:r>
          </w:p>
        </w:tc>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Mass per 100 mL 100×</w:t>
            </w:r>
          </w:p>
        </w:tc>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Final 1× concentration</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L-Alanine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0.78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0.88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L-Asparagine·H₂O</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0.96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0.64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L-Aspartic acid</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1.20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0.90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L-Glutamic acid</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2.20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1.50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L-Glutamine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1.50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1.03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Glycine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0.67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L-Proline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1.40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1.21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L-Serine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0.66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0.63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L-Threonine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0.66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0.55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L-Valine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1.00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0.85 mM</w:t>
            </w:r>
          </w:p>
        </w:tc>
      </w:tr>
    </w:tbl>
    <w:p>
      <w:pPr>
        <w:spacing w:after="100"/>
      </w:pPr>
      <w:r>
        <w:t xml:space="preserve">Filter-sterilise. Aliquot 5 mL portions. Store at −20 °C.</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Critical for assay interpretation</w:t>
            </w:r>
          </w:p>
          <w:p>
            <w:r>
              <w:t xml:space="preserve">Asn at 0.64 mM and Asp at 0.90 mM in standard CDM are well above the bacterial AspRS Km. These are the baseline concentrations against which any "depleted" condition is defined. For Asn-depleted runs, replace L-Asn·H₂O with sterile water (mock-supplemented) in the working aliquot. For Gln-depleted runs (the more diagnostic test for GatCAB substrate competition), replace L-Gln similarly. Note both depletions on the run header sheet.</w:t>
            </w:r>
          </w:p>
        </w:tc>
      </w:tr>
    </w:tbl>
    <w:p>
      <w:pPr>
        <w:spacing w:after="120"/>
      </w:pPr>
      <w:r>
        <w:t xml:space="preserve"/>
      </w:r>
    </w:p>
    <w:p>
      <w:pPr>
        <w:pStyle w:val="Heading2"/>
      </w:pPr>
      <w:r>
        <w:t xml:space="preserve">D.4 Amino acid mix B — basic, aromatic, sulfur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44"/>
        <w:gridCol w:w="2808"/>
        <w:gridCol w:w="2808"/>
      </w:tblGrid>
      <w:tr>
        <w:trPr>
          <w:tblHeader/>
        </w:trPr>
        <w:tc>
          <w:tcPr>
            <w:tcW w:type="dxa" w:w="374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Amino acid</w:t>
            </w:r>
          </w:p>
        </w:tc>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Mass per 100 mL 100×</w:t>
            </w:r>
          </w:p>
        </w:tc>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Final 1× concentration</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L-Arginine·HCl</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1.30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0.61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L-Cysteine·HCl·H₂O</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0.28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L-Histidine·HCl·H₂O</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0.55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0.26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L-Isoleucine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0.46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L-Leucine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0.94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0.72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L-Lysine·HCl</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1.10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0.60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L-Methionine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0.30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L-Phenylalanine</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0.40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0.24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L-Tryptophan</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0.10 mM</w:t>
            </w:r>
          </w:p>
        </w:tc>
      </w:tr>
      <w:tr>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L-Tyrosine (dissolve last, in 0.1 N HCl)</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0.50 g</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0.28 mM</w:t>
            </w:r>
          </w:p>
        </w:tc>
      </w:tr>
    </w:tbl>
    <w:p>
      <w:pPr>
        <w:spacing w:after="100"/>
      </w:pPr>
      <w:r>
        <w:t xml:space="preserve">L-Tyrosine has poor aqueous solubility; dissolve in a small volume of 0.1 N HCl before bringing to final volume. Filter-sterilise (0.22 μm) and store at −20 °C in 5 mL aliquots, light-protected.</w:t>
      </w:r>
    </w:p>
    <w:p>
      <w:pPr>
        <w:spacing w:after="120"/>
      </w:pPr>
      <w:r>
        <w:t xml:space="preserve"/>
      </w:r>
    </w:p>
    <w:p>
      <w:pPr>
        <w:pStyle w:val="Heading2"/>
      </w:pPr>
      <w:r>
        <w:t xml:space="preserve">D.5 Vitamin mix (1000×)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Vitamin</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Mass per 100 mL 1000×</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Final 1× concentration</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Thiamine·HCl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5.9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Nicotinic acid</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16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Pantothenic acid (Ca salt)</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4.2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Pyridoxine·HCl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9.7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Pyridoxal·HCl</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9.8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Biotin</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0.001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0.04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Riboflavin (in 0.02 N NaOH)</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0.020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0.53 μM</w:t>
            </w:r>
          </w:p>
        </w:tc>
      </w:tr>
    </w:tbl>
    <w:p>
      <w:pPr>
        <w:spacing w:after="100"/>
      </w:pPr>
      <w:r>
        <w:t xml:space="preserve">Filter-sterilise, store at −20 °C in foil-wrapped tubes (riboflavin is light-sensitive).</w:t>
      </w:r>
    </w:p>
    <w:p>
      <w:pPr>
        <w:spacing w:after="120"/>
      </w:pPr>
      <w:r>
        <w:t xml:space="preserve"/>
      </w:r>
    </w:p>
    <w:p>
      <w:pPr>
        <w:pStyle w:val="Heading2"/>
      </w:pPr>
      <w:r>
        <w:t xml:space="preserve">D.6 Trace elements (1000×)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Component</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Mass per 100 mL 1000×</w:t>
            </w:r>
          </w:p>
        </w:tc>
        <w:tc>
          <w:tcPr>
            <w:tcW w:type="dxa" w:w="2340"/>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Final 1× concentration</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FeSO₄·7H₂O</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0.080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2.9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MnSO₄·H₂O</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0.010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0.59 μM</w:t>
            </w:r>
          </w:p>
        </w:tc>
      </w:tr>
      <w:tr>
        <w:tc>
          <w:tcPr>
            <w:tcW w:type="dxa" w:w="468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ZnSO₄·7H₂O</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0.010 g</w:t>
            </w:r>
          </w:p>
        </w:tc>
        <w:tc>
          <w:tcPr>
            <w:tcW w:type="dxa" w:w="2340"/>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0.35 μM</w:t>
            </w:r>
          </w:p>
        </w:tc>
      </w:tr>
    </w:tbl>
    <w:p>
      <w:pPr>
        <w:spacing w:after="100"/>
      </w:pPr>
      <w:r>
        <w:t xml:space="preserve">Add 100 μL concentrated H₂SO₄ to prevent precipitation. Filter-sterilise. Store at 4 °C.</w:t>
      </w:r>
    </w:p>
    <w:p>
      <w:pPr>
        <w:spacing w:after="120"/>
      </w:pPr>
      <w:r>
        <w:t xml:space="preserve"/>
      </w:r>
    </w:p>
    <w:p>
      <w:pPr>
        <w:pStyle w:val="Heading2"/>
      </w:pPr>
      <w:r>
        <w:t xml:space="preserve">D.7 Final CDM assembly (per 100 mL working medium)</w:t>
      </w:r>
    </w:p>
    <w:p>
      <w:pPr>
        <w:pStyle w:val="ListParagraph"/>
        <w:numPr>
          <w:ilvl w:val="0"/>
          <w:numId w:val="3"/>
        </w:numPr>
        <w:spacing w:after="80"/>
      </w:pPr>
      <w:r>
        <w:t xml:space="preserve">In a sterile 250 mL bottle, combine 10 mL of 10× salts solution and add MilliQ to ~80 mL.</w:t>
      </w:r>
    </w:p>
    <w:p>
      <w:pPr>
        <w:pStyle w:val="ListParagraph"/>
        <w:numPr>
          <w:ilvl w:val="0"/>
          <w:numId w:val="3"/>
        </w:numPr>
        <w:spacing w:after="80"/>
      </w:pPr>
      <w:r>
        <w:t xml:space="preserve">Add 5 mL of 1 M MOPS pH 7.2.</w:t>
      </w:r>
    </w:p>
    <w:p>
      <w:pPr>
        <w:pStyle w:val="ListParagraph"/>
        <w:numPr>
          <w:ilvl w:val="0"/>
          <w:numId w:val="3"/>
        </w:numPr>
        <w:spacing w:after="80"/>
      </w:pPr>
      <w:r>
        <w:t xml:space="preserve">Add 1 mL each of amino acid mix A and amino acid mix B (100× → 1×).</w:t>
      </w:r>
    </w:p>
    <w:p>
      <w:pPr>
        <w:pStyle w:val="ListParagraph"/>
        <w:numPr>
          <w:ilvl w:val="0"/>
          <w:numId w:val="3"/>
        </w:numPr>
        <w:spacing w:after="80"/>
      </w:pPr>
      <w:r>
        <w:t xml:space="preserve">Add 100 μL each of vitamin mix and trace elements (1000× → 1×).</w:t>
      </w:r>
    </w:p>
    <w:p>
      <w:pPr>
        <w:pStyle w:val="ListParagraph"/>
        <w:numPr>
          <w:ilvl w:val="0"/>
          <w:numId w:val="3"/>
        </w:numPr>
        <w:spacing w:after="80"/>
      </w:pPr>
      <w:r>
        <w:t xml:space="preserve">Add 2.5 mL of 20 % glucose stock (final 0.5 % w/v glucose).</w:t>
      </w:r>
    </w:p>
    <w:p>
      <w:pPr>
        <w:pStyle w:val="ListParagraph"/>
        <w:numPr>
          <w:ilvl w:val="0"/>
          <w:numId w:val="3"/>
        </w:numPr>
        <w:spacing w:after="80"/>
      </w:pPr>
      <w:r>
        <w:t xml:space="preserve">Adjust pH to 7.2 if needed (drift is minor with MOPS buffer present). Bring to 100 mL with sterile MilliQ.</w:t>
      </w:r>
    </w:p>
    <w:p>
      <w:pPr>
        <w:pStyle w:val="ListParagraph"/>
        <w:numPr>
          <w:ilvl w:val="0"/>
          <w:numId w:val="3"/>
        </w:numPr>
        <w:spacing w:after="80"/>
      </w:pPr>
      <w:r>
        <w:t xml:space="preserve">Filter-sterilise the assembled medium through 0.22 μm. Verify clarity. Store at 4 °C and use within 7 days.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Quality control on every batch</w:t>
            </w:r>
          </w:p>
          <w:p>
            <w:r>
              <w:t xml:space="preserve">Inoculate 5 mL CDM with USA300 JE2 from a single colony and incubate 18 h at 37 °C, 200 rpm. Acceptance: OD₆₀₀ &gt; 2.5 at 18 h. If growth is slower or OD plateaus lower, suspect a vitamin stock degradation (most commonly biotin or pyridoxal). Discard the affected batch and prepare fresh stocks.</w:t>
            </w:r>
          </w:p>
        </w:tc>
      </w:tr>
    </w:tbl>
    <w:p>
      <w:r>
        <w:br w:type="page"/>
      </w:r>
    </w:p>
    <w:p>
      <w:pPr>
        <w:pStyle w:val="Heading1"/>
      </w:pPr>
      <w:r>
        <w:t xml:space="preserve">Appendix E — Acid-urea PAGE troubleshooting and validation guide</w:t>
      </w:r>
    </w:p>
    <w:p>
      <w:pPr>
        <w:spacing w:after="100"/>
      </w:pPr>
      <w:r>
        <w:t xml:space="preserve">This is the highest-risk bench technique in the SOP suite. It is also the technique with the highest mechanistic payoff: a clean three-band separation visualises the GatCAB block directly. The pilot phase must establish reliable resolution before any drug experiments are interpretable. This appendix consolidates failure modes, diagnostics, and the pilot validation protocol.</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BE4D5" w:val="clear"/>
            <w:tcMar>
              <w:top w:type="dxa" w:w="100"/>
              <w:left w:type="dxa" w:w="140"/>
              <w:bottom w:type="dxa" w:w="100"/>
              <w:right w:type="dxa" w:w="140"/>
            </w:tcMar>
          </w:tcPr>
          <w:p>
            <w:pPr>
              <w:spacing w:after="60"/>
            </w:pPr>
            <w:r>
              <w:rPr>
                <w:b/>
                <w:bCs/>
              </w:rPr>
              <w:t xml:space="preserve">Pilot acceptance gate</w:t>
            </w:r>
          </w:p>
          <w:p>
            <w:r>
              <w:t xml:space="preserve">Before running drug experiments through the acid-urea arm, the pilot must demonstrate three resolved bands in vehicle-treated USA300 JE2 against a deacylation-control reference lane. Without this validation, the v1 dataset has no biochemical anchor.</w:t>
            </w:r>
          </w:p>
        </w:tc>
      </w:tr>
    </w:tbl>
    <w:p>
      <w:pPr>
        <w:spacing w:after="120"/>
      </w:pPr>
      <w:r>
        <w:t xml:space="preserve"/>
      </w:r>
    </w:p>
    <w:p>
      <w:pPr>
        <w:pStyle w:val="Heading2"/>
      </w:pPr>
      <w:r>
        <w:t xml:space="preserve">E.1 Common failure modes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3744"/>
        <w:gridCol w:w="2808"/>
      </w:tblGrid>
      <w:tr>
        <w:trPr>
          <w:tblHeader/>
        </w:trPr>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Symptom</w:t>
            </w:r>
          </w:p>
        </w:tc>
        <w:tc>
          <w:tcPr>
            <w:tcW w:type="dxa" w:w="3744"/>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Most likely cause</w:t>
            </w:r>
          </w:p>
        </w:tc>
        <w:tc>
          <w:tcPr>
            <w:tcW w:type="dxa" w:w="2808"/>
            <w:tcBorders>
              <w:top w:val="single" w:color="999999" w:sz="4"/>
              <w:left w:val="single" w:color="999999" w:sz="4"/>
              <w:bottom w:val="single" w:color="999999" w:sz="4"/>
              <w:right w:val="single" w:color="999999" w:sz="4"/>
            </w:tcBorders>
            <w:shd w:fill="1F3A5F" w:val="clear"/>
            <w:tcMar>
              <w:top w:type="dxa" w:w="100"/>
              <w:left w:type="dxa" w:w="140"/>
              <w:bottom w:type="dxa" w:w="100"/>
              <w:right w:type="dxa" w:w="140"/>
            </w:tcMar>
            <w:vAlign w:val="center"/>
          </w:tcPr>
          <w:p>
            <w:r>
              <w:rPr>
                <w:b/>
                <w:bCs/>
                <w:color w:val="FFFFFF"/>
                <w:sz w:val="20"/>
                <w:szCs w:val="20"/>
              </w:rPr>
              <w:t xml:space="preserve">First fix</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No bands at all</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Probe failed to label, or RNA degraded during extraction</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Run a positive-control hybridisation against a known tRNA-Asn standard (commercial purified S. aureus total RNA)</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Single low band only (uncharged position)</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Aminoacyl bond hydrolysed during extraction or storage; sample reached pH &gt; 7 or warmed above 4 °C</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Re-extract with strict pH 4.5 cold-chain discipline. Process to gel within 4 h of extraction.</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Smeared bands, no resolution</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pH drift during long run, or insufficient pre-run</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Replace running buffer every 90 min during long runs. Pre-run for at least 45 min before loading.</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Bands resolved but too close to distinguish Asp from Asn</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Acrylamide percentage too low, or gel too short</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Increase to 12 % acrylamide; switch from minigel (20 cm) to sequencing-format (40 cm) rig</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High background across the lane</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Probe concentration too high, or insufficient stringency wash</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Reduce probe to 5 × 10⁵ cpm/mL; increase final wash to 0.1× SSC at 50 °C</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Only some lanes resolve cleanly</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Uneven gel polymerisation or sample salt mismatch</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Check gel for uniform appearance before running. Desalt samples by extra ethanol precipitation.</w:t>
            </w:r>
          </w:p>
        </w:tc>
      </w:tr>
      <w:tr>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tRNA-Leu control also shifts</w:t>
            </w:r>
          </w:p>
        </w:tc>
        <w:tc>
          <w:tcPr>
            <w:tcW w:type="dxa" w:w="3744"/>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Phenotype is not GatCAB-specific (general aminoacylation stress, ribosome stall, or extraction artefact)</w:t>
            </w:r>
          </w:p>
        </w:tc>
        <w:tc>
          <w:tcPr>
            <w:tcW w:type="dxa" w:w="2808"/>
            <w:tcBorders>
              <w:top w:val="single" w:color="999999" w:sz="4"/>
              <w:left w:val="single" w:color="999999" w:sz="4"/>
              <w:bottom w:val="single" w:color="999999" w:sz="4"/>
              <w:right w:val="single" w:color="999999" w:sz="4"/>
            </w:tcBorders>
            <w:tcMar>
              <w:top w:type="dxa" w:w="100"/>
              <w:left w:type="dxa" w:w="140"/>
              <w:bottom w:type="dxa" w:w="100"/>
              <w:right w:type="dxa" w:w="140"/>
            </w:tcMar>
            <w:vAlign w:val="center"/>
          </w:tcPr>
          <w:p>
            <w:r>
              <w:rPr>
                <w:b w:val="false"/>
                <w:bCs w:val="false"/>
                <w:sz w:val="20"/>
                <w:szCs w:val="20"/>
              </w:rPr>
              <w:t xml:space="preserve">Stop and reassess. Check vehicle-condition tRNA-Leu lane for charging baseline. If shifted, the issue is upstream of the experiment.</w:t>
            </w:r>
          </w:p>
        </w:tc>
      </w:tr>
    </w:tbl>
    <w:p>
      <w:pPr>
        <w:spacing w:after="120"/>
      </w:pPr>
      <w:r>
        <w:t xml:space="preserve"/>
      </w:r>
    </w:p>
    <w:p>
      <w:pPr>
        <w:pStyle w:val="Heading2"/>
      </w:pPr>
      <w:r>
        <w:t xml:space="preserve">E.2 The pH discipline: a checklist</w:t>
      </w:r>
    </w:p>
    <w:p>
      <w:pPr>
        <w:spacing w:after="100"/>
      </w:pPr>
      <w:r>
        <w:t xml:space="preserve">Aminoacyl-tRNA ester bonds hydrolyse with a half-life of minutes at neutral pH and room temperature. Every step from cell pellet to gel loading must be pH 4.5 and cold.</w:t>
      </w:r>
    </w:p>
    <w:p>
      <w:pPr>
        <w:pStyle w:val="ListParagraph"/>
        <w:numPr>
          <w:ilvl w:val="0"/>
          <w:numId w:val="2"/>
        </w:numPr>
        <w:spacing w:after="60"/>
      </w:pPr>
      <w:r>
        <w:t xml:space="preserve">All wash buffers freshly prepared at pH 4.5; check pH on the day, do not assume.</w:t>
      </w:r>
    </w:p>
    <w:p>
      <w:pPr>
        <w:pStyle w:val="ListParagraph"/>
        <w:numPr>
          <w:ilvl w:val="0"/>
          <w:numId w:val="2"/>
        </w:numPr>
        <w:spacing w:after="60"/>
      </w:pPr>
      <w:r>
        <w:t xml:space="preserve">All centrifuges pre-cooled to 4 °C; pellets transferred to ice within 30 seconds of decanting.</w:t>
      </w:r>
    </w:p>
    <w:p>
      <w:pPr>
        <w:pStyle w:val="ListParagraph"/>
        <w:numPr>
          <w:ilvl w:val="0"/>
          <w:numId w:val="2"/>
        </w:numPr>
        <w:spacing w:after="60"/>
      </w:pPr>
      <w:r>
        <w:t xml:space="preserve">Phenol pre-equilibrated at pH 4.5 (acid phenol, NOT TE-saturated phenol from the standard RNA shelf).</w:t>
      </w:r>
    </w:p>
    <w:p>
      <w:pPr>
        <w:pStyle w:val="ListParagraph"/>
        <w:numPr>
          <w:ilvl w:val="0"/>
          <w:numId w:val="2"/>
        </w:numPr>
        <w:spacing w:after="60"/>
      </w:pPr>
      <w:r>
        <w:t xml:space="preserve">Ethanol wash with cold 70 % ethanol acidified with 10 mM NaOAc pH 4.5, NOT plain 70 % ethanol.</w:t>
      </w:r>
    </w:p>
    <w:p>
      <w:pPr>
        <w:pStyle w:val="ListParagraph"/>
        <w:numPr>
          <w:ilvl w:val="0"/>
          <w:numId w:val="2"/>
        </w:numPr>
        <w:spacing w:after="60"/>
      </w:pPr>
      <w:r>
        <w:t xml:space="preserve">Resuspension buffer cold and acidic; aliquot in advance, keep on ice.</w:t>
      </w:r>
    </w:p>
    <w:p>
      <w:pPr>
        <w:pStyle w:val="ListParagraph"/>
        <w:numPr>
          <w:ilvl w:val="0"/>
          <w:numId w:val="2"/>
        </w:numPr>
        <w:spacing w:after="60"/>
      </w:pPr>
      <w:r>
        <w:t xml:space="preserve">Loading buffer cold; do NOT heat samples before loading. The conventional 70 °C denaturation step that accompanies most PAGE protocols is forbidden here.</w:t>
      </w:r>
    </w:p>
    <w:p>
      <w:pPr>
        <w:pStyle w:val="ListParagraph"/>
        <w:numPr>
          <w:ilvl w:val="0"/>
          <w:numId w:val="2"/>
        </w:numPr>
        <w:spacing w:after="60"/>
      </w:pPr>
      <w:r>
        <w:t xml:space="preserve">Total elapsed time from extraction start to gel loading: under 4 hours.</w:t>
      </w:r>
    </w:p>
    <w:p>
      <w:pPr>
        <w:pStyle w:val="ListParagraph"/>
        <w:numPr>
          <w:ilvl w:val="0"/>
          <w:numId w:val="2"/>
        </w:numPr>
        <w:spacing w:after="60"/>
      </w:pPr>
      <w:r>
        <w:t xml:space="preserve">If interrupted, stop only at pellet stage with cold 70 % ethanol overlay at −80 °C; never freeze in solution at neutral pH.</w:t>
      </w:r>
    </w:p>
    <w:p>
      <w:pPr>
        <w:spacing w:after="120"/>
      </w:pPr>
      <w:r>
        <w:t xml:space="preserve"/>
      </w:r>
    </w:p>
    <w:p>
      <w:pPr>
        <w:pStyle w:val="Heading2"/>
      </w:pPr>
      <w:r>
        <w:t xml:space="preserve">E.3 Pilot validation protocol (run before any drug experiment)</w:t>
      </w:r>
    </w:p>
    <w:p>
      <w:pPr>
        <w:spacing w:after="100"/>
      </w:pPr>
      <w:r>
        <w:t xml:space="preserve">This three-step validation establishes that the bench can resolve all three charging states reliably. Execute over one week before opening the v1 drug experiments.</w:t>
      </w:r>
    </w:p>
    <w:p>
      <w:pPr>
        <w:spacing w:after="120"/>
      </w:pPr>
      <w:r>
        <w:t xml:space="preserve"/>
      </w:r>
    </w:p>
    <w:p>
      <w:pPr>
        <w:pStyle w:val="Heading3"/>
      </w:pPr>
      <w:r>
        <w:t xml:space="preserve">E.3.1 Step 1 — extraction and intact-charging confirmation</w:t>
      </w:r>
    </w:p>
    <w:p>
      <w:pPr>
        <w:pStyle w:val="ListParagraph"/>
        <w:numPr>
          <w:ilvl w:val="0"/>
          <w:numId w:val="3"/>
        </w:numPr>
        <w:spacing w:after="80"/>
      </w:pPr>
      <w:r>
        <w:t xml:space="preserve">Grow USA300 JE2 in CDM to OD 0.5. Sample 1.5 mL into acid-fixation buffer following SOP 3 § 3.2.</w:t>
      </w:r>
    </w:p>
    <w:p>
      <w:pPr>
        <w:pStyle w:val="ListParagraph"/>
        <w:numPr>
          <w:ilvl w:val="0"/>
          <w:numId w:val="3"/>
        </w:numPr>
        <w:spacing w:after="80"/>
      </w:pPr>
      <w:r>
        <w:t xml:space="preserve">Extract under acid conditions, recover total RNA.</w:t>
      </w:r>
    </w:p>
    <w:p>
      <w:pPr>
        <w:pStyle w:val="ListParagraph"/>
        <w:numPr>
          <w:ilvl w:val="0"/>
          <w:numId w:val="3"/>
        </w:numPr>
        <w:spacing w:after="80"/>
      </w:pPr>
      <w:r>
        <w:t xml:space="preserve">Split each sample in two: half loaded directly, half deacylated by 30 min at 37 °C in 100 mM Tris pH 9.0.</w:t>
      </w:r>
    </w:p>
    <w:p>
      <w:pPr>
        <w:pStyle w:val="ListParagraph"/>
        <w:numPr>
          <w:ilvl w:val="0"/>
          <w:numId w:val="3"/>
        </w:numPr>
        <w:spacing w:after="80"/>
      </w:pPr>
      <w:r>
        <w:t xml:space="preserve">Run the half-and-half pair side-by-side on a pilot acid-urea gel. The intact lane should show a clear top band (Asn-tRNA-Asn). The deacylation control should show that band gone, with a single band at the bottom (uncharged) position. Difference between the two lanes confirms the protocol preserves charging.</w:t>
      </w:r>
    </w:p>
    <w:p>
      <w:pPr>
        <w:spacing w:after="120"/>
      </w:pPr>
      <w:r>
        <w:t xml:space="preserve"/>
      </w:r>
    </w:p>
    <w:p>
      <w:pPr>
        <w:pStyle w:val="Heading3"/>
      </w:pPr>
      <w:r>
        <w:t xml:space="preserve">E.3.2 Step 2 — Asp-tRNA-Asn induction by glutamine starvation</w:t>
      </w:r>
    </w:p>
    <w:p>
      <w:pPr>
        <w:pStyle w:val="ListParagraph"/>
        <w:numPr>
          <w:ilvl w:val="0"/>
          <w:numId w:val="3"/>
        </w:numPr>
        <w:spacing w:after="80"/>
      </w:pPr>
      <w:r>
        <w:t xml:space="preserve">Grow USA300 JE2 in CDM as in Step 1, but split at OD 0.5 into Gln-replete and Gln-depleted media (D.3 with Gln replaced by water).</w:t>
      </w:r>
    </w:p>
    <w:p>
      <w:pPr>
        <w:pStyle w:val="ListParagraph"/>
        <w:numPr>
          <w:ilvl w:val="0"/>
          <w:numId w:val="3"/>
        </w:numPr>
        <w:spacing w:after="80"/>
      </w:pPr>
      <w:r>
        <w:t xml:space="preserve">Sample at 0, 30, 60 min post-shift. Process under acid conditions.</w:t>
      </w:r>
    </w:p>
    <w:p>
      <w:pPr>
        <w:pStyle w:val="ListParagraph"/>
        <w:numPr>
          <w:ilvl w:val="0"/>
          <w:numId w:val="3"/>
        </w:numPr>
        <w:spacing w:after="80"/>
      </w:pPr>
      <w:r>
        <w:t xml:space="preserve">On the gel, the Gln-depleted condition should show Asp-tRNA-Asn band intensity rising over time as GatCAB substrate (Gln) becomes limiting. This is a positive control for the experimental signal we are hunting in the drug arm.</w:t>
      </w:r>
    </w:p>
    <w:p>
      <w:pPr>
        <w:pStyle w:val="ListParagraph"/>
        <w:numPr>
          <w:ilvl w:val="0"/>
          <w:numId w:val="3"/>
        </w:numPr>
        <w:spacing w:after="80"/>
      </w:pPr>
      <w:r>
        <w:t xml:space="preserve">If the Asp-tRNA-Asn band rises detectably under Gln starvation, the bench is ready to detect the same signal under ESYLWS pressure.</w:t>
      </w:r>
    </w:p>
    <w:p>
      <w:pPr>
        <w:spacing w:after="120"/>
      </w:pPr>
      <w:r>
        <w:t xml:space="preserve"/>
      </w:r>
    </w:p>
    <w:p>
      <w:pPr>
        <w:pStyle w:val="Heading3"/>
      </w:pPr>
      <w:r>
        <w:t xml:space="preserve">E.3.3 Step 3 — chloramphenicol negative control</w:t>
      </w:r>
    </w:p>
    <w:p>
      <w:pPr>
        <w:pStyle w:val="ListParagraph"/>
        <w:numPr>
          <w:ilvl w:val="0"/>
          <w:numId w:val="3"/>
        </w:numPr>
        <w:spacing w:after="80"/>
      </w:pPr>
      <w:r>
        <w:t xml:space="preserve">Grow USA300 JE2 to OD 0.5, treat with CAM at 1× MIC for 30 min. Sample, extract, run.</w:t>
      </w:r>
    </w:p>
    <w:p>
      <w:pPr>
        <w:pStyle w:val="ListParagraph"/>
        <w:numPr>
          <w:ilvl w:val="0"/>
          <w:numId w:val="3"/>
        </w:numPr>
        <w:spacing w:after="80"/>
      </w:pPr>
      <w:r>
        <w:t xml:space="preserve">CAM stalls the ribosome but does not affect tRNA-Asn aminoacylation directly. The expected pattern is the Asn-tRNA-Asn band slightly increased (charged tRNA accumulates because translation is blocked downstream), with no rise in the Asp-tRNA-Asn band.</w:t>
      </w:r>
    </w:p>
    <w:p>
      <w:pPr>
        <w:pStyle w:val="ListParagraph"/>
        <w:numPr>
          <w:ilvl w:val="0"/>
          <w:numId w:val="3"/>
        </w:numPr>
        <w:spacing w:after="80"/>
      </w:pPr>
      <w:r>
        <w:t xml:space="preserve">This confirms the assay does not produce false positives for GatCAB block under generic translation inhibition.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5EEDC" w:val="clear"/>
            <w:tcMar>
              <w:top w:type="dxa" w:w="100"/>
              <w:left w:type="dxa" w:w="140"/>
              <w:bottom w:type="dxa" w:w="100"/>
              <w:right w:type="dxa" w:w="140"/>
            </w:tcMar>
          </w:tcPr>
          <w:p>
            <w:pPr>
              <w:spacing w:after="60"/>
            </w:pPr>
            <w:r>
              <w:rPr>
                <w:b/>
                <w:bCs/>
              </w:rPr>
              <w:t xml:space="preserve">Pilot success criteria</w:t>
            </w:r>
          </w:p>
          <w:p>
            <w:r>
              <w:t xml:space="preserve">All three pilot steps complete with the predicted band patterns within 2 weeks. Failure of any step requires troubleshooting before the v1 drug arm is opened. The pilot data are also the training set for image-quantification thresholds in ImageJ.</w:t>
            </w:r>
          </w:p>
        </w:tc>
      </w:tr>
    </w:tbl>
    <w:p>
      <w:pPr>
        <w:spacing w:after="120"/>
      </w:pPr>
      <w:r>
        <w:t xml:space="preserve"/>
      </w:r>
    </w:p>
    <w:p>
      <w:pPr>
        <w:pStyle w:val="Heading2"/>
      </w:pPr>
      <w:r>
        <w:t xml:space="preserve">E.4 Probe design and labelling</w:t>
      </w:r>
    </w:p>
    <w:p>
      <w:pPr>
        <w:spacing w:after="100"/>
      </w:pPr>
      <w:r>
        <w:t xml:space="preserve">The tRNA-Asn probe targets the acceptor stem and TΨC arm of the S. aureus tRNA-Asn consensus. Sequence designed against GtRNAdb S. aureus reference, screened against off-targets in the S. aureus tRNA pool to avoid cross-hybridisation with tRNA-Asp.</w:t>
      </w:r>
    </w:p>
    <w:p>
      <w:pPr>
        <w:spacing w:after="100"/>
      </w:pPr>
      <w:r>
        <w:rPr>
          <w:b/>
          <w:bCs/>
        </w:rPr>
        <w:t xml:space="preserve">Suggested probe sequence (5′ → 3′):</w:t>
      </w:r>
    </w:p>
    <w:p>
      <w:pPr>
        <w:spacing w:after="100"/>
      </w:pPr>
      <w:r>
        <w:t xml:space="preserve">CCAACGTGGGGCTCGAACCCACGACCTCGCG (31 nt, Tm ≈ 68 °C)</w:t>
      </w:r>
    </w:p>
    <w:p>
      <w:pPr>
        <w:spacing w:after="100"/>
      </w:pPr>
      <w:r>
        <w:t xml:space="preserve">Verify the sequence against the working strain's tRNA-Asn gene by Sanger sequencing of the genomic locus before ordering bulk probe. Single-nucleotide mismatches at the 3′ end of the probe will reduce specificity dramatically.</w:t>
      </w:r>
    </w:p>
    <w:p>
      <w:pPr>
        <w:spacing w:after="120"/>
      </w:pPr>
      <w:r>
        <w:t xml:space="preserve"/>
      </w:r>
    </w:p>
    <w:p>
      <w:pPr>
        <w:pStyle w:val="Heading3"/>
      </w:pPr>
      <w:r>
        <w:t xml:space="preserve">E.4.1 5′-end labelling with γ-³²P-ATP</w:t>
      </w:r>
    </w:p>
    <w:p>
      <w:pPr>
        <w:pStyle w:val="ListParagraph"/>
        <w:numPr>
          <w:ilvl w:val="0"/>
          <w:numId w:val="3"/>
        </w:numPr>
        <w:spacing w:after="80"/>
      </w:pPr>
      <w:r>
        <w:t xml:space="preserve">Combine: 10 pmol probe oligo, 5 μL 10× T4 PNK buffer, 50 μCi γ-[³²P]-ATP (3 000 Ci/mmol), 1 μL T4 PNK (10 U), water to 50 μL.</w:t>
      </w:r>
    </w:p>
    <w:p>
      <w:pPr>
        <w:pStyle w:val="ListParagraph"/>
        <w:numPr>
          <w:ilvl w:val="0"/>
          <w:numId w:val="3"/>
        </w:numPr>
        <w:spacing w:after="80"/>
      </w:pPr>
      <w:r>
        <w:t xml:space="preserve">Incubate 30 min at 37 °C.</w:t>
      </w:r>
    </w:p>
    <w:p>
      <w:pPr>
        <w:pStyle w:val="ListParagraph"/>
        <w:numPr>
          <w:ilvl w:val="0"/>
          <w:numId w:val="3"/>
        </w:numPr>
        <w:spacing w:after="80"/>
      </w:pPr>
      <w:r>
        <w:t xml:space="preserve">Heat-inactivate at 65 °C for 20 min.</w:t>
      </w:r>
    </w:p>
    <w:p>
      <w:pPr>
        <w:pStyle w:val="ListParagraph"/>
        <w:numPr>
          <w:ilvl w:val="0"/>
          <w:numId w:val="3"/>
        </w:numPr>
        <w:spacing w:after="80"/>
      </w:pPr>
      <w:r>
        <w:t xml:space="preserve">Purify through G-25 spin column to remove unincorporated label. Count incorporation efficiency: &gt; 50 % of input radioactivity should be in the eluate.</w:t>
      </w:r>
    </w:p>
    <w:p>
      <w:pPr>
        <w:spacing w:after="120"/>
      </w:pPr>
      <w:r>
        <w:t xml:space="preserve"/>
      </w:r>
    </w:p>
    <w:p>
      <w:pPr>
        <w:pStyle w:val="Heading3"/>
      </w:pPr>
      <w:r>
        <w:t xml:space="preserve">E.4.2 Non-radioactive alternative (biotin probe)</w:t>
      </w:r>
    </w:p>
    <w:p>
      <w:pPr>
        <w:spacing w:after="100"/>
      </w:pPr>
      <w:r>
        <w:t xml:space="preserve">If the local radiation licence does not extend to ³²P or if the team prefers to keep the project ³H/¹⁴C-only, biotinylated probes work with reduced sensitivity. Use a biotin-labelled probe at 5 nM in DIG Easy Hyb, develop with streptavidin-HRP and ECL substrate. Expect 5–10× longer exposure times and reduced ability to detect minor charged species. The radioactive method remains preferred for the v1 sensitivity requirement.</w:t>
      </w:r>
    </w:p>
    <w:p>
      <w:pPr>
        <w:spacing w:after="120"/>
      </w:pPr>
      <w:r>
        <w:t xml:space="preserve"/>
      </w:r>
    </w:p>
    <w:p>
      <w:pPr>
        <w:pStyle w:val="Heading2"/>
      </w:pPr>
      <w:r>
        <w:t xml:space="preserve">E.5 Quantification by ImageJ</w:t>
      </w:r>
    </w:p>
    <w:p>
      <w:pPr>
        <w:pStyle w:val="ListParagraph"/>
        <w:numPr>
          <w:ilvl w:val="0"/>
          <w:numId w:val="3"/>
        </w:numPr>
        <w:spacing w:after="80"/>
      </w:pPr>
      <w:r>
        <w:t xml:space="preserve">Open the phosphorimager .gel file in ImageJ via the Bio-Formats plugin.</w:t>
      </w:r>
    </w:p>
    <w:p>
      <w:pPr>
        <w:pStyle w:val="ListParagraph"/>
        <w:numPr>
          <w:ilvl w:val="0"/>
          <w:numId w:val="3"/>
        </w:numPr>
        <w:spacing w:after="80"/>
      </w:pPr>
      <w:r>
        <w:t xml:space="preserve">Use Analyze → Gels → Select First Lane to define the lane region.</w:t>
      </w:r>
    </w:p>
    <w:p>
      <w:pPr>
        <w:pStyle w:val="ListParagraph"/>
        <w:numPr>
          <w:ilvl w:val="0"/>
          <w:numId w:val="3"/>
        </w:numPr>
        <w:spacing w:after="80"/>
      </w:pPr>
      <w:r>
        <w:t xml:space="preserve">Define each subsequent lane and plot lane profiles.</w:t>
      </w:r>
    </w:p>
    <w:p>
      <w:pPr>
        <w:pStyle w:val="ListParagraph"/>
        <w:numPr>
          <w:ilvl w:val="0"/>
          <w:numId w:val="3"/>
        </w:numPr>
        <w:spacing w:after="80"/>
      </w:pPr>
      <w:r>
        <w:t xml:space="preserve">Draw baselines under each band and use the wand tool to measure peak areas.</w:t>
      </w:r>
    </w:p>
    <w:p>
      <w:pPr>
        <w:pStyle w:val="ListParagraph"/>
        <w:numPr>
          <w:ilvl w:val="0"/>
          <w:numId w:val="3"/>
        </w:numPr>
        <w:spacing w:after="80"/>
      </w:pPr>
      <w:r>
        <w:t xml:space="preserve">Export band areas to a spreadsheet. Calculate the transamidation efficiency for each lane:</w:t>
      </w:r>
    </w:p>
    <w:p>
      <w:pPr>
        <w:spacing w:after="100"/>
      </w:pPr>
      <w:r>
        <w:t xml:space="preserve">Transamidation efficiency = (Asn-tRNA area) / (Asp-tRNA area + Asn-tRNA area)</w:t>
      </w:r>
    </w:p>
    <w:p>
      <w:pPr>
        <w:pStyle w:val="ListParagraph"/>
        <w:numPr>
          <w:ilvl w:val="0"/>
          <w:numId w:val="3"/>
        </w:numPr>
        <w:spacing w:after="80"/>
      </w:pPr>
      <w:r>
        <w:t xml:space="preserve">Plot transamidation efficiency vs drug condition. Vehicle should give values near 1.0; ESYLWS should drive values toward 0; chloramphenicol should leave values unchanged.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DRAFT — Do not execute before radiation safety officer and biosafety sign-off  |  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A5F" w:sz="6" w:space="4"/>
      </w:pBdr>
      <w:jc w:val="right"/>
    </w:pPr>
    <w:r>
      <w:rPr>
        <w:color w:val="888888"/>
        <w:sz w:val="18"/>
        <w:szCs w:val="18"/>
      </w:rPr>
      <w:t xml:space="preserve">HOST-DIALOG — SOP-HD-001 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A5F"/>
      <w:sz w:val="36"/>
      <w:szCs w:val="36"/>
    </w:rPr>
  </w:style>
  <w:style w:type="paragraph" w:styleId="Heading2">
    <w:name w:val="Heading 2"/>
    <w:basedOn w:val="Normal"/>
    <w:next w:val="Normal"/>
    <w:qFormat/>
    <w:pPr>
      <w:spacing w:after="160" w:before="240"/>
      <w:outlineLvl w:val="1"/>
    </w:pPr>
    <w:rPr>
      <w:rFonts w:ascii="Calibri" w:cs="Calibri" w:eastAsia="Calibri" w:hAnsi="Calibri"/>
      <w:b/>
      <w:bCs/>
      <w:color w:val="1F3A5F"/>
      <w:sz w:val="28"/>
      <w:szCs w:val="28"/>
    </w:rPr>
  </w:style>
  <w:style w:type="paragraph" w:styleId="Heading3">
    <w:name w:val="Heading 3"/>
    <w:basedOn w:val="Normal"/>
    <w:next w:val="Normal"/>
    <w:qFormat/>
    <w:pPr>
      <w:spacing w:after="120" w:before="180"/>
      <w:outlineLvl w:val="2"/>
    </w:pPr>
    <w:rPr>
      <w:rFonts w:ascii="Calibri" w:cs="Calibri" w:eastAsia="Calibri" w:hAnsi="Calibri"/>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HOST-DIALOG Integrated Assay Suite SOPs v1.1</dc:title>
  <dc:creator>Bård Ove Karlsen / HOST-DIALOG</dc:creator>
  <dc:description>Standard operating procedures for the tRNA-Asn / GatCAB functional assay suite in S. aureus. v1.1 adds Hussain CDM recipe and acid-urea PAGE troubleshooting.</dc:description>
  <cp:lastModifiedBy>Un-named</cp:lastModifiedBy>
  <cp:revision>1</cp:revision>
  <dcterms:created xsi:type="dcterms:W3CDTF">2026-04-22T11:09:23.439Z</dcterms:created>
  <dcterms:modified xsi:type="dcterms:W3CDTF">2026-04-22T11:09:23.441Z</dcterms:modified>
</cp:coreProperties>
</file>

<file path=docProps/custom.xml><?xml version="1.0" encoding="utf-8"?>
<Properties xmlns="http://schemas.openxmlformats.org/officeDocument/2006/custom-properties" xmlns:vt="http://schemas.openxmlformats.org/officeDocument/2006/docPropsVTypes"/>
</file>